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charts/chart3.xml" ContentType="application/vnd.openxmlformats-officedocument.drawingml.chart+xml"/>
  <Override PartName="/word/charts/chart2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CA" w:rsidRDefault="003813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 Level Change and Historical Earthquakes of Sumatra from Coral Growth Rings—Advanced Version</w:t>
      </w:r>
    </w:p>
    <w:p w:rsidR="0038131F" w:rsidRDefault="003813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Set</w:t>
      </w:r>
    </w:p>
    <w:p w:rsidR="0038131F" w:rsidRDefault="0038131F">
      <w:pPr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Part I</w:t>
      </w:r>
      <w:commentRangeEnd w:id="0"/>
      <w:r w:rsidR="0086681E">
        <w:rPr>
          <w:rStyle w:val="CommentReference"/>
        </w:rPr>
        <w:commentReference w:id="0"/>
      </w:r>
    </w:p>
    <w:p w:rsidR="00D83E5C" w:rsidRDefault="00D83E5C" w:rsidP="00D83E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</w:rPr>
      </w:pPr>
      <w:r>
        <w:rPr>
          <w:rFonts w:ascii="Times New Roman" w:hAnsi="Times New Roman" w:cs="Times New Roman"/>
          <w:sz w:val="24"/>
          <w:szCs w:val="24"/>
        </w:rPr>
        <w:t xml:space="preserve">Atoll: </w:t>
      </w:r>
      <w:r w:rsidRPr="000D3600">
        <w:rPr>
          <w:rFonts w:ascii="Times New Roman" w:hAnsi="Times New Roman" w:cs="TimesNewRomanPS-BoldMT"/>
        </w:rPr>
        <w:t>a ring-shaped coral reef or a string of closely spaced small coral islands, enclosing or nearly enclosing a shallow lagoon.</w:t>
      </w:r>
    </w:p>
    <w:p w:rsidR="00D83E5C" w:rsidRPr="00D83E5C" w:rsidRDefault="0038131F" w:rsidP="00D83E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</w:rPr>
      </w:pPr>
      <w:r w:rsidRPr="00D83E5C">
        <w:rPr>
          <w:rFonts w:ascii="Times New Roman" w:hAnsi="Times New Roman" w:cs="Times New Roman"/>
          <w:sz w:val="24"/>
          <w:szCs w:val="24"/>
        </w:rPr>
        <w:t xml:space="preserve">Hemispherical corals grow radially outward, </w:t>
      </w:r>
      <w:r w:rsidR="00997FFE" w:rsidRPr="00D83E5C">
        <w:rPr>
          <w:rFonts w:ascii="Times New Roman" w:hAnsi="Times New Roman" w:cs="Times New Roman"/>
          <w:sz w:val="24"/>
          <w:szCs w:val="24"/>
        </w:rPr>
        <w:t xml:space="preserve">building </w:t>
      </w:r>
      <w:r w:rsidR="004B11BF" w:rsidRPr="00D83E5C">
        <w:rPr>
          <w:rFonts w:ascii="Times New Roman" w:hAnsi="Times New Roman" w:cs="Times New Roman"/>
          <w:sz w:val="24"/>
          <w:szCs w:val="24"/>
        </w:rPr>
        <w:t xml:space="preserve">annual </w:t>
      </w:r>
      <w:r w:rsidR="00997FFE" w:rsidRPr="00D83E5C">
        <w:rPr>
          <w:rFonts w:ascii="Times New Roman" w:hAnsi="Times New Roman" w:cs="Times New Roman"/>
          <w:sz w:val="24"/>
          <w:szCs w:val="24"/>
        </w:rPr>
        <w:t xml:space="preserve">calcium carbonate </w:t>
      </w:r>
      <w:r w:rsidR="004B11BF" w:rsidRPr="00D83E5C">
        <w:rPr>
          <w:rFonts w:ascii="Times New Roman" w:hAnsi="Times New Roman" w:cs="Times New Roman"/>
          <w:sz w:val="24"/>
          <w:szCs w:val="24"/>
        </w:rPr>
        <w:t xml:space="preserve">bands similar to tree rings.  The coral </w:t>
      </w:r>
      <w:proofErr w:type="gramStart"/>
      <w:r w:rsidR="00997FFE" w:rsidRPr="00D83E5C">
        <w:rPr>
          <w:rFonts w:ascii="Times New Roman" w:hAnsi="Times New Roman" w:cs="Times New Roman"/>
          <w:sz w:val="24"/>
          <w:szCs w:val="24"/>
        </w:rPr>
        <w:t>genus</w:t>
      </w:r>
      <w:r w:rsidR="004B11BF" w:rsidRPr="00D83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1BF" w:rsidRPr="00D83E5C">
        <w:rPr>
          <w:rFonts w:ascii="Times New Roman" w:hAnsi="Times New Roman" w:cs="Times New Roman"/>
          <w:i/>
          <w:sz w:val="24"/>
          <w:szCs w:val="24"/>
        </w:rPr>
        <w:t>Porites</w:t>
      </w:r>
      <w:proofErr w:type="spellEnd"/>
      <w:r w:rsidR="004B11BF" w:rsidRPr="00D83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1BF" w:rsidRPr="00D83E5C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="004B11BF" w:rsidRPr="00D83E5C">
        <w:rPr>
          <w:rFonts w:ascii="Times New Roman" w:hAnsi="Times New Roman" w:cs="Times New Roman"/>
          <w:sz w:val="24"/>
          <w:szCs w:val="24"/>
        </w:rPr>
        <w:t xml:space="preserve"> the best sea-level and paleoseismic records.</w:t>
      </w:r>
      <w:r w:rsidR="00997FFE" w:rsidRPr="00D83E5C">
        <w:rPr>
          <w:rFonts w:ascii="Times New Roman" w:hAnsi="Times New Roman" w:cs="Times New Roman"/>
          <w:sz w:val="24"/>
          <w:szCs w:val="24"/>
        </w:rPr>
        <w:t xml:space="preserve"> However, there are several species of </w:t>
      </w:r>
      <w:proofErr w:type="spellStart"/>
      <w:r w:rsidR="00997FFE" w:rsidRPr="00D83E5C">
        <w:rPr>
          <w:rFonts w:ascii="Times New Roman" w:hAnsi="Times New Roman" w:cs="Times New Roman"/>
          <w:i/>
          <w:sz w:val="24"/>
          <w:szCs w:val="24"/>
        </w:rPr>
        <w:t>Porites</w:t>
      </w:r>
      <w:proofErr w:type="spellEnd"/>
      <w:r w:rsidR="00997FFE" w:rsidRPr="00D83E5C">
        <w:rPr>
          <w:rFonts w:ascii="Times New Roman" w:hAnsi="Times New Roman" w:cs="Times New Roman"/>
          <w:sz w:val="24"/>
          <w:szCs w:val="24"/>
        </w:rPr>
        <w:t xml:space="preserve"> that do not grow </w:t>
      </w:r>
      <w:proofErr w:type="spellStart"/>
      <w:r w:rsidR="00997FFE" w:rsidRPr="00D83E5C">
        <w:rPr>
          <w:rFonts w:ascii="Times New Roman" w:hAnsi="Times New Roman" w:cs="Times New Roman"/>
          <w:sz w:val="24"/>
          <w:szCs w:val="24"/>
        </w:rPr>
        <w:t>hemispherically</w:t>
      </w:r>
      <w:proofErr w:type="spellEnd"/>
      <w:r w:rsidR="00997FFE" w:rsidRPr="00D83E5C">
        <w:rPr>
          <w:rFonts w:ascii="Times New Roman" w:hAnsi="Times New Roman" w:cs="Times New Roman"/>
          <w:sz w:val="24"/>
          <w:szCs w:val="24"/>
        </w:rPr>
        <w:t xml:space="preserve"> and would not serve as a sea-level record. Also, </w:t>
      </w:r>
      <w:proofErr w:type="spellStart"/>
      <w:r w:rsidR="00997FFE" w:rsidRPr="00D83E5C">
        <w:rPr>
          <w:rFonts w:ascii="Times New Roman" w:hAnsi="Times New Roman" w:cs="Times New Roman"/>
          <w:i/>
          <w:sz w:val="24"/>
          <w:szCs w:val="24"/>
        </w:rPr>
        <w:t>Porites</w:t>
      </w:r>
      <w:proofErr w:type="spellEnd"/>
      <w:r w:rsidR="00997FFE" w:rsidRPr="00D83E5C">
        <w:rPr>
          <w:rFonts w:ascii="Times New Roman" w:hAnsi="Times New Roman" w:cs="Times New Roman"/>
          <w:sz w:val="24"/>
          <w:szCs w:val="24"/>
        </w:rPr>
        <w:t xml:space="preserve"> can grow in places that don’t have earthquakes; there they can still serve as sea-level markers.</w:t>
      </w:r>
    </w:p>
    <w:p w:rsidR="00D83E5C" w:rsidRPr="00D83E5C" w:rsidRDefault="00D83E5C" w:rsidP="00D83E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Coseismic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3E5C">
        <w:rPr>
          <w:rFonts w:ascii="Times New Roman" w:hAnsi="Times New Roman" w:cs="Times New Roman"/>
          <w:sz w:val="24"/>
          <w:szCs w:val="24"/>
        </w:rPr>
        <w:t xml:space="preserve">The time of the earthquake, lasting </w:t>
      </w:r>
      <w:r w:rsidR="004B11BF" w:rsidRPr="00D83E5C">
        <w:rPr>
          <w:rFonts w:ascii="Times New Roman" w:hAnsi="Times New Roman" w:cs="Times New Roman"/>
          <w:sz w:val="24"/>
          <w:szCs w:val="24"/>
        </w:rPr>
        <w:t>seconds to minutes.</w:t>
      </w:r>
    </w:p>
    <w:p w:rsidR="00D83E5C" w:rsidRPr="00D83E5C" w:rsidRDefault="00D83E5C" w:rsidP="00D83E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Interseismic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the time between earthquakes, </w:t>
      </w:r>
      <w:r w:rsidR="004B11BF" w:rsidRPr="00D83E5C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>ting</w:t>
      </w:r>
      <w:r w:rsidR="004B11BF" w:rsidRPr="00D83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years</w:t>
      </w:r>
      <w:r w:rsidR="004B11BF" w:rsidRPr="00D83E5C">
        <w:rPr>
          <w:rFonts w:ascii="Times New Roman" w:hAnsi="Times New Roman" w:cs="Times New Roman"/>
          <w:sz w:val="24"/>
          <w:szCs w:val="24"/>
        </w:rPr>
        <w:t xml:space="preserve"> to thousands of years.</w:t>
      </w:r>
    </w:p>
    <w:p w:rsidR="004B11BF" w:rsidRPr="00D83E5C" w:rsidRDefault="00D83E5C" w:rsidP="00D83E5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</w:rPr>
      </w:pPr>
      <w:r>
        <w:rPr>
          <w:rFonts w:ascii="Times New Roman" w:hAnsi="Times New Roman" w:cs="Times New Roman"/>
          <w:sz w:val="24"/>
          <w:szCs w:val="24"/>
        </w:rPr>
        <w:t xml:space="preserve">Unconformity: </w:t>
      </w:r>
      <w:r w:rsidR="004B11BF" w:rsidRPr="00D83E5C">
        <w:rPr>
          <w:rFonts w:ascii="Times New Roman" w:hAnsi="Times New Roman" w:cs="Times New Roman"/>
          <w:sz w:val="24"/>
          <w:szCs w:val="24"/>
        </w:rPr>
        <w:t>a period of time that has no representation in the geologic stratigraphy, due to non-deposition and/or erosion.</w:t>
      </w:r>
      <w:r>
        <w:rPr>
          <w:rFonts w:ascii="Times New Roman" w:hAnsi="Times New Roman" w:cs="Times New Roman"/>
          <w:sz w:val="24"/>
          <w:szCs w:val="24"/>
        </w:rPr>
        <w:t xml:space="preserve"> It indicates </w:t>
      </w:r>
      <w:r w:rsidRPr="00D83E5C">
        <w:rPr>
          <w:rFonts w:ascii="Times New Roman" w:hAnsi="Times New Roman" w:cs="Times New Roman"/>
          <w:i/>
          <w:sz w:val="24"/>
          <w:szCs w:val="24"/>
        </w:rPr>
        <w:t>missing</w:t>
      </w:r>
      <w:r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4B11BF" w:rsidRDefault="004B11BF" w:rsidP="004B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II</w:t>
      </w:r>
    </w:p>
    <w:p w:rsidR="004B11BF" w:rsidRPr="00FF701E" w:rsidRDefault="004B11BF" w:rsidP="00FF70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FF701E" w:rsidRDefault="00FF701E" w:rsidP="00FF701E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="00E53319">
        <w:rPr>
          <w:rFonts w:ascii="Times New Roman" w:hAnsi="Times New Roman" w:cs="Times New Roman"/>
          <w:sz w:val="24"/>
          <w:szCs w:val="24"/>
        </w:rPr>
        <w:t>adial growth rate is 9-11 mm/yr (or ~1 cm/yr).</w:t>
      </w:r>
    </w:p>
    <w:p w:rsidR="00FF701E" w:rsidRDefault="00FF701E" w:rsidP="00FF701E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Coral HLS </w:t>
      </w:r>
      <w:r w:rsidR="001B3C36">
        <w:rPr>
          <w:rFonts w:ascii="Times New Roman" w:hAnsi="Times New Roman" w:cs="Times New Roman"/>
          <w:sz w:val="24"/>
          <w:szCs w:val="24"/>
        </w:rPr>
        <w:t>represents low-</w:t>
      </w:r>
      <w:r>
        <w:rPr>
          <w:rFonts w:ascii="Times New Roman" w:hAnsi="Times New Roman" w:cs="Times New Roman"/>
          <w:sz w:val="24"/>
          <w:szCs w:val="24"/>
        </w:rPr>
        <w:t>tide level.</w:t>
      </w:r>
    </w:p>
    <w:p w:rsidR="00FF701E" w:rsidRDefault="00FF701E" w:rsidP="00FF701E">
      <w:pPr>
        <w:pStyle w:val="ListParagraph"/>
        <w:numPr>
          <w:ilvl w:val="0"/>
          <w:numId w:val="5"/>
        </w:numPr>
        <w:ind w:left="1080"/>
        <w:rPr>
          <w:rFonts w:ascii="Times New Roman" w:hAnsi="Times New Roman" w:cs="Times New Roman"/>
          <w:sz w:val="24"/>
          <w:szCs w:val="24"/>
        </w:rPr>
      </w:pPr>
    </w:p>
    <w:p w:rsidR="00FA4152" w:rsidRDefault="00FA4152" w:rsidP="00FA4152">
      <w:pPr>
        <w:pStyle w:val="ListParagraph"/>
        <w:ind w:left="1080"/>
        <w:rPr>
          <w:noProof/>
        </w:rPr>
      </w:pPr>
      <w:r>
        <w:rPr>
          <w:noProof/>
        </w:rPr>
        <w:drawing>
          <wp:inline distT="0" distB="0" distL="0" distR="0">
            <wp:extent cx="5267325" cy="245745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4152" w:rsidRDefault="00FA4152" w:rsidP="00FA4152">
      <w:pPr>
        <w:pStyle w:val="ListParagraph"/>
        <w:ind w:left="1080"/>
        <w:rPr>
          <w:noProof/>
        </w:rPr>
      </w:pPr>
    </w:p>
    <w:p w:rsidR="00FF701E" w:rsidRDefault="00FA4152" w:rsidP="00FA4152">
      <w:pPr>
        <w:pStyle w:val="ListParagraph"/>
        <w:ind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2)</w:t>
      </w:r>
      <w:r w:rsidR="001B3C36">
        <w:rPr>
          <w:rFonts w:ascii="Times New Roman" w:hAnsi="Times New Roman" w:cs="Times New Roman"/>
          <w:noProof/>
          <w:sz w:val="24"/>
          <w:szCs w:val="24"/>
        </w:rPr>
        <w:tab/>
        <w:t>Yes, there are “unconformities” in the coral record, where parts have been eroded.</w:t>
      </w:r>
    </w:p>
    <w:p w:rsidR="00FA4152" w:rsidRDefault="002314D7" w:rsidP="00FA4152">
      <w:pPr>
        <w:pStyle w:val="ListParagraph"/>
        <w:ind w:left="1080"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a)  Coral unconformities </w:t>
      </w:r>
      <w:r w:rsidR="001B3C36">
        <w:rPr>
          <w:rFonts w:ascii="Times New Roman" w:hAnsi="Times New Roman" w:cs="Times New Roman"/>
          <w:noProof/>
          <w:sz w:val="24"/>
          <w:szCs w:val="24"/>
        </w:rPr>
        <w:t>form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3C36">
        <w:rPr>
          <w:rFonts w:ascii="Times New Roman" w:hAnsi="Times New Roman" w:cs="Times New Roman"/>
          <w:noProof/>
          <w:sz w:val="24"/>
          <w:szCs w:val="24"/>
        </w:rPr>
        <w:t xml:space="preserve">when an </w:t>
      </w:r>
      <w:r>
        <w:rPr>
          <w:rFonts w:ascii="Times New Roman" w:hAnsi="Times New Roman" w:cs="Times New Roman"/>
          <w:noProof/>
          <w:sz w:val="24"/>
          <w:szCs w:val="24"/>
        </w:rPr>
        <w:t>older surface</w:t>
      </w:r>
      <w:r w:rsidR="001B3C36">
        <w:rPr>
          <w:rFonts w:ascii="Times New Roman" w:hAnsi="Times New Roman" w:cs="Times New Roman"/>
          <w:noProof/>
          <w:sz w:val="24"/>
          <w:szCs w:val="24"/>
        </w:rPr>
        <w:t xml:space="preserve"> erodes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1B3C36">
        <w:rPr>
          <w:rFonts w:ascii="Times New Roman" w:hAnsi="Times New Roman" w:cs="Times New Roman"/>
          <w:noProof/>
          <w:sz w:val="24"/>
          <w:szCs w:val="24"/>
        </w:rPr>
        <w:t xml:space="preserve"> Also, younger bands can curl over and grow inward; their upper parts are no longer parallel to older bands.</w:t>
      </w:r>
    </w:p>
    <w:p w:rsidR="002314D7" w:rsidRDefault="002314D7" w:rsidP="00FA4152">
      <w:pPr>
        <w:pStyle w:val="ListParagraph"/>
        <w:ind w:left="1080"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b)  A coral unconformity represents death of part of the coral growth surface and regrowth around it.</w:t>
      </w:r>
    </w:p>
    <w:p w:rsidR="002314D7" w:rsidRDefault="002314D7" w:rsidP="00FA4152">
      <w:pPr>
        <w:pStyle w:val="ListParagraph"/>
        <w:ind w:left="1080"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c)  See bold lines in Fig. 2.</w:t>
      </w:r>
    </w:p>
    <w:p w:rsidR="002314D7" w:rsidRDefault="002314D7" w:rsidP="00FA4152">
      <w:pPr>
        <w:pStyle w:val="ListParagraph"/>
        <w:ind w:left="1080"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d)  The coral surface is uneven and not parallel to annual banding, indicati</w:t>
      </w:r>
      <w:r w:rsidR="00940290">
        <w:rPr>
          <w:rFonts w:ascii="Times New Roman" w:hAnsi="Times New Roman" w:cs="Times New Roman"/>
          <w:noProof/>
          <w:sz w:val="24"/>
          <w:szCs w:val="24"/>
        </w:rPr>
        <w:t>ng erosion, in the years 1962–72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14D7" w:rsidRDefault="002314D7" w:rsidP="002314D7">
      <w:pPr>
        <w:pStyle w:val="ListParagraph"/>
        <w:spacing w:after="0"/>
        <w:ind w:hanging="360"/>
        <w:rPr>
          <w:rFonts w:ascii="Times New Roman" w:hAnsi="Times New Roman" w:cs="Times New Roman"/>
          <w:noProof/>
          <w:sz w:val="24"/>
          <w:szCs w:val="24"/>
        </w:rPr>
      </w:pPr>
    </w:p>
    <w:p w:rsidR="002314D7" w:rsidRDefault="002314D7" w:rsidP="002314D7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2314D7">
        <w:rPr>
          <w:rFonts w:ascii="Times New Roman" w:hAnsi="Times New Roman" w:cs="Times New Roman"/>
          <w:noProof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4D7" w:rsidRDefault="00B572F4" w:rsidP="002314D7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75300" cy="2829560"/>
            <wp:effectExtent l="25400" t="25400" r="1270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82B" w:rsidRDefault="0073682B" w:rsidP="002314D7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73682B" w:rsidRDefault="0073682B" w:rsidP="0073682B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:rsidR="0073682B" w:rsidRDefault="0073682B" w:rsidP="0073682B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38775" cy="236220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682B" w:rsidRDefault="0073682B" w:rsidP="0073682B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73682B" w:rsidRDefault="00A57C23" w:rsidP="00736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III</w:t>
      </w:r>
    </w:p>
    <w:p w:rsidR="00A57C23" w:rsidRDefault="00A57C23" w:rsidP="00736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C23" w:rsidRDefault="00A57C23" w:rsidP="00A57C23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A57C23" w:rsidRDefault="00A57C23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 Head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subme</w:t>
      </w:r>
      <w:r w:rsidR="00781420">
        <w:rPr>
          <w:rFonts w:ascii="Times New Roman" w:hAnsi="Times New Roman" w:cs="Times New Roman"/>
          <w:sz w:val="24"/>
          <w:szCs w:val="24"/>
        </w:rPr>
        <w:t>rged from 1963–1974 and emerged from 1974–1997.</w:t>
      </w:r>
      <w:r>
        <w:rPr>
          <w:rFonts w:ascii="Times New Roman" w:hAnsi="Times New Roman" w:cs="Times New Roman"/>
          <w:sz w:val="24"/>
          <w:szCs w:val="24"/>
        </w:rPr>
        <w:t xml:space="preserve"> During submergence, each HLS unconformity is higher than the previous one; during emergence, each HLS unconformity is lower than the previous one.</w:t>
      </w:r>
      <w:r w:rsidR="00781420">
        <w:rPr>
          <w:rFonts w:ascii="Times New Roman" w:hAnsi="Times New Roman" w:cs="Times New Roman"/>
          <w:sz w:val="24"/>
          <w:szCs w:val="24"/>
        </w:rPr>
        <w:t xml:space="preserve"> Also the graph reflects both events.</w:t>
      </w:r>
    </w:p>
    <w:p w:rsidR="00A57C23" w:rsidRDefault="00A57C23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781420">
        <w:rPr>
          <w:rFonts w:ascii="Times New Roman" w:hAnsi="Times New Roman" w:cs="Times New Roman"/>
          <w:sz w:val="24"/>
          <w:szCs w:val="24"/>
        </w:rPr>
        <w:t>Submergence</w:t>
      </w:r>
      <w:proofErr w:type="gramEnd"/>
      <w:r w:rsidR="00781420">
        <w:rPr>
          <w:rFonts w:ascii="Times New Roman" w:hAnsi="Times New Roman" w:cs="Times New Roman"/>
          <w:sz w:val="24"/>
          <w:szCs w:val="24"/>
        </w:rPr>
        <w:t xml:space="preserve"> was 0.5 cm/yr from 1964–1974, and emergence was ~0.6 cm/yr. </w:t>
      </w:r>
    </w:p>
    <w:p w:rsidR="009E14F6" w:rsidRDefault="009E14F6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r w:rsidR="00590DD4">
        <w:rPr>
          <w:rFonts w:ascii="Times New Roman" w:hAnsi="Times New Roman" w:cs="Times New Roman"/>
          <w:sz w:val="24"/>
          <w:szCs w:val="24"/>
        </w:rPr>
        <w:t>uplift was ~8</w:t>
      </w:r>
      <w:r w:rsidR="00781420">
        <w:rPr>
          <w:rFonts w:ascii="Times New Roman" w:hAnsi="Times New Roman" w:cs="Times New Roman"/>
          <w:sz w:val="24"/>
          <w:szCs w:val="24"/>
        </w:rPr>
        <w:t xml:space="preserve"> mm/yr (6 mm/yr </w:t>
      </w:r>
      <w:r w:rsidR="00590DD4">
        <w:rPr>
          <w:rFonts w:ascii="Times New Roman" w:hAnsi="Times New Roman" w:cs="Times New Roman"/>
          <w:sz w:val="24"/>
          <w:szCs w:val="24"/>
        </w:rPr>
        <w:t>+ 2</w:t>
      </w:r>
      <w:r w:rsidR="00781420">
        <w:rPr>
          <w:rFonts w:ascii="Times New Roman" w:hAnsi="Times New Roman" w:cs="Times New Roman"/>
          <w:sz w:val="24"/>
          <w:szCs w:val="24"/>
        </w:rPr>
        <w:t xml:space="preserve"> mm/yr)</w:t>
      </w:r>
    </w:p>
    <w:p w:rsidR="009E14F6" w:rsidRDefault="009E14F6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d)  </w:t>
      </w:r>
      <w:r w:rsidR="00B46008">
        <w:rPr>
          <w:rFonts w:ascii="Times New Roman" w:hAnsi="Times New Roman" w:cs="Times New Roman"/>
          <w:sz w:val="24"/>
          <w:szCs w:val="24"/>
        </w:rPr>
        <w:t>Both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008">
        <w:rPr>
          <w:rFonts w:ascii="Times New Roman" w:hAnsi="Times New Roman" w:cs="Times New Roman"/>
          <w:sz w:val="24"/>
          <w:szCs w:val="24"/>
        </w:rPr>
        <w:t>submergence and emergence</w:t>
      </w:r>
      <w:r>
        <w:rPr>
          <w:rFonts w:ascii="Times New Roman" w:hAnsi="Times New Roman" w:cs="Times New Roman"/>
          <w:sz w:val="24"/>
          <w:szCs w:val="24"/>
        </w:rPr>
        <w:t xml:space="preserve"> must be interseismic, since </w:t>
      </w:r>
      <w:r w:rsidR="00B46008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occurred gradually over many decades.</w:t>
      </w:r>
      <w:r w:rsidR="00B46008">
        <w:rPr>
          <w:rFonts w:ascii="Times New Roman" w:hAnsi="Times New Roman" w:cs="Times New Roman"/>
          <w:sz w:val="24"/>
          <w:szCs w:val="24"/>
        </w:rPr>
        <w:t xml:space="preserve"> However, the change between the two may be </w:t>
      </w:r>
      <w:proofErr w:type="spellStart"/>
      <w:r w:rsidR="00B46008">
        <w:rPr>
          <w:rFonts w:ascii="Times New Roman" w:hAnsi="Times New Roman" w:cs="Times New Roman"/>
          <w:sz w:val="24"/>
          <w:szCs w:val="24"/>
        </w:rPr>
        <w:t>coseismic</w:t>
      </w:r>
      <w:proofErr w:type="spellEnd"/>
      <w:r w:rsidR="00B46008">
        <w:rPr>
          <w:rFonts w:ascii="Times New Roman" w:hAnsi="Times New Roman" w:cs="Times New Roman"/>
          <w:sz w:val="24"/>
          <w:szCs w:val="24"/>
        </w:rPr>
        <w:t>.</w:t>
      </w:r>
      <w:r w:rsidR="00015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E32">
        <w:rPr>
          <w:rFonts w:ascii="Times New Roman" w:hAnsi="Times New Roman" w:cs="Times New Roman"/>
          <w:sz w:val="24"/>
          <w:szCs w:val="24"/>
        </w:rPr>
        <w:t>Pretty abrupt change.</w:t>
      </w:r>
      <w:proofErr w:type="gramEnd"/>
    </w:p>
    <w:p w:rsidR="009E14F6" w:rsidRDefault="009E14F6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e)  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isn’t an unconformity every year, because the annual extreme low </w:t>
      </w:r>
      <w:r w:rsidR="00015E32">
        <w:rPr>
          <w:rFonts w:ascii="Times New Roman" w:hAnsi="Times New Roman" w:cs="Times New Roman"/>
          <w:sz w:val="24"/>
          <w:szCs w:val="24"/>
        </w:rPr>
        <w:t xml:space="preserve">tide varies from year to year. </w:t>
      </w:r>
      <w:r>
        <w:rPr>
          <w:rFonts w:ascii="Times New Roman" w:hAnsi="Times New Roman" w:cs="Times New Roman"/>
          <w:sz w:val="24"/>
          <w:szCs w:val="24"/>
        </w:rPr>
        <w:t>Unconformities only occur when the HLS drops lower than the highest level of growth of the coral surface in the previous year.</w:t>
      </w:r>
    </w:p>
    <w:p w:rsidR="00226E33" w:rsidRDefault="00226E33" w:rsidP="00A57C2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226E33" w:rsidRDefault="00226E33" w:rsidP="00226E33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226E33" w:rsidRDefault="00226E33" w:rsidP="00226E3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474C44">
        <w:rPr>
          <w:rFonts w:ascii="Times New Roman" w:hAnsi="Times New Roman" w:cs="Times New Roman"/>
          <w:sz w:val="24"/>
          <w:szCs w:val="24"/>
        </w:rPr>
        <w:t>Head Tb1 has been submerging.</w:t>
      </w:r>
    </w:p>
    <w:p w:rsidR="00474C44" w:rsidRDefault="00474C44" w:rsidP="00226E3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5E5F0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E5F0F">
        <w:rPr>
          <w:rFonts w:ascii="Times New Roman" w:hAnsi="Times New Roman" w:cs="Times New Roman"/>
          <w:sz w:val="24"/>
          <w:szCs w:val="24"/>
        </w:rPr>
        <w:t xml:space="preserve"> average rate of submergence is 5.8 mm/yr.  The rate seems to have been fairly constant without sudden </w:t>
      </w:r>
      <w:r w:rsidR="00811D22">
        <w:rPr>
          <w:rFonts w:ascii="Times New Roman" w:hAnsi="Times New Roman" w:cs="Times New Roman"/>
          <w:sz w:val="24"/>
          <w:szCs w:val="24"/>
        </w:rPr>
        <w:t>jumps in HLS</w:t>
      </w:r>
      <w:r w:rsidR="005E5F0F">
        <w:rPr>
          <w:rFonts w:ascii="Times New Roman" w:hAnsi="Times New Roman" w:cs="Times New Roman"/>
          <w:sz w:val="24"/>
          <w:szCs w:val="24"/>
        </w:rPr>
        <w:t>.</w:t>
      </w:r>
    </w:p>
    <w:p w:rsidR="005E5F0F" w:rsidRDefault="005E5F0F" w:rsidP="00226E3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The tectonic subsidence rate is 3.8 mm/yr.</w:t>
      </w:r>
    </w:p>
    <w:p w:rsidR="005E5F0F" w:rsidRDefault="005E5F0F" w:rsidP="00226E33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The subsidence rate appears to have slowed after 1970.  </w:t>
      </w:r>
      <w:r w:rsidR="00811D22">
        <w:rPr>
          <w:rFonts w:ascii="Times New Roman" w:hAnsi="Times New Roman" w:cs="Times New Roman"/>
          <w:sz w:val="24"/>
          <w:szCs w:val="24"/>
        </w:rPr>
        <w:t xml:space="preserve">A coseismic event might have triggered this change.  </w:t>
      </w:r>
      <w:r>
        <w:rPr>
          <w:rFonts w:ascii="Times New Roman" w:hAnsi="Times New Roman" w:cs="Times New Roman"/>
          <w:sz w:val="24"/>
          <w:szCs w:val="24"/>
        </w:rPr>
        <w:t>However, the subsidence must still be interseismic, since it occurs gradually over many decades.</w:t>
      </w:r>
    </w:p>
    <w:p w:rsidR="005E5F0F" w:rsidRDefault="005E5F0F" w:rsidP="005E5F0F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E5F0F" w:rsidRDefault="005E5F0F" w:rsidP="005E5F0F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5E5F0F" w:rsidRDefault="005E5F0F" w:rsidP="005E5F0F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5B4327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="005B4327">
        <w:rPr>
          <w:rFonts w:ascii="Times New Roman" w:hAnsi="Times New Roman" w:cs="Times New Roman"/>
          <w:sz w:val="24"/>
          <w:szCs w:val="24"/>
        </w:rPr>
        <w:t xml:space="preserve"> Tb2 submerged at 7.1 mm/yr between 1900 and 1935.</w:t>
      </w:r>
    </w:p>
    <w:p w:rsidR="005B4327" w:rsidRDefault="005B4327" w:rsidP="005E5F0F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The tectonic subsidence rate was 5.1 mm/yr.</w:t>
      </w:r>
    </w:p>
    <w:p w:rsidR="005B4327" w:rsidRDefault="005B4327" w:rsidP="005E5F0F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="0086681E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="0086681E">
        <w:rPr>
          <w:rFonts w:ascii="Times New Roman" w:hAnsi="Times New Roman" w:cs="Times New Roman"/>
          <w:sz w:val="24"/>
          <w:szCs w:val="24"/>
        </w:rPr>
        <w:t xml:space="preserve"> is no more than 3 cm of difference between uneroded coeval HLS</w:t>
      </w:r>
      <w:r w:rsidR="00407C1B">
        <w:rPr>
          <w:rFonts w:ascii="Times New Roman" w:hAnsi="Times New Roman" w:cs="Times New Roman"/>
          <w:sz w:val="24"/>
          <w:szCs w:val="24"/>
        </w:rPr>
        <w:t xml:space="preserve"> levels between the two sides. </w:t>
      </w:r>
      <w:r w:rsidR="0086681E">
        <w:rPr>
          <w:rFonts w:ascii="Times New Roman" w:hAnsi="Times New Roman" w:cs="Times New Roman"/>
          <w:sz w:val="24"/>
          <w:szCs w:val="24"/>
        </w:rPr>
        <w:t xml:space="preserve">Eroded coeval HLS levels differ by up to 5 cm </w:t>
      </w:r>
      <w:r w:rsidR="00407C1B">
        <w:rPr>
          <w:rFonts w:ascii="Times New Roman" w:hAnsi="Times New Roman" w:cs="Times New Roman"/>
          <w:sz w:val="24"/>
          <w:szCs w:val="24"/>
        </w:rPr>
        <w:t>on this coral head.</w:t>
      </w:r>
    </w:p>
    <w:p w:rsidR="00522489" w:rsidRDefault="00522489" w:rsidP="00522489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:rsidR="00522489" w:rsidRDefault="00522489" w:rsidP="00522489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During 1960-2000,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uplifted 4.4 mm/yr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subsided 2.0 mm/yr.</w:t>
      </w:r>
    </w:p>
    <w:p w:rsidR="00522489" w:rsidRDefault="00522489" w:rsidP="00522489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Sites close to the trench subside interseismically while those farther away uplift.</w:t>
      </w:r>
    </w:p>
    <w:p w:rsidR="00522489" w:rsidRDefault="00522489" w:rsidP="00522489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2489" w:rsidRDefault="00522489" w:rsidP="00522489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</w:p>
    <w:p w:rsidR="00522489" w:rsidRDefault="00522489" w:rsidP="00522489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proofErr w:type="spellStart"/>
      <w:r w:rsidR="009436A1">
        <w:rPr>
          <w:rFonts w:ascii="Times New Roman" w:hAnsi="Times New Roman" w:cs="Times New Roman"/>
          <w:sz w:val="24"/>
          <w:szCs w:val="24"/>
        </w:rPr>
        <w:t>Bendera</w:t>
      </w:r>
      <w:proofErr w:type="spellEnd"/>
      <w:r w:rsidR="009436A1">
        <w:rPr>
          <w:rFonts w:ascii="Times New Roman" w:hAnsi="Times New Roman" w:cs="Times New Roman"/>
          <w:sz w:val="24"/>
          <w:szCs w:val="24"/>
        </w:rPr>
        <w:t xml:space="preserve"> uplifted 88 </w:t>
      </w:r>
      <w:r w:rsidR="009436A1">
        <w:rPr>
          <w:rFonts w:ascii="Calibri" w:hAnsi="Calibri" w:cs="Calibri"/>
          <w:sz w:val="24"/>
          <w:szCs w:val="24"/>
        </w:rPr>
        <w:t>±</w:t>
      </w:r>
      <w:r w:rsidR="009436A1">
        <w:rPr>
          <w:rFonts w:ascii="Times New Roman" w:hAnsi="Times New Roman" w:cs="Times New Roman"/>
          <w:sz w:val="24"/>
          <w:szCs w:val="24"/>
        </w:rPr>
        <w:t xml:space="preserve"> 5 cm during the 1935 earthquake (5 cm uncertainty is reasonable since the top of Tb2 is slightly eroded, and Tb1 has only a minimum HLS in 1935).</w:t>
      </w:r>
    </w:p>
    <w:p w:rsidR="009436A1" w:rsidRDefault="009436A1" w:rsidP="00522489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The tectonic subsidence rate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decreased by 1.3 mm/yr after the 1935 earthquake.  This illustrates that coseismic events can cause changes in interseismic deformation rates.</w:t>
      </w:r>
    </w:p>
    <w:p w:rsidR="009436A1" w:rsidRDefault="009436A1" w:rsidP="00522489">
      <w:pPr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9436A1" w:rsidRPr="002314D7" w:rsidRDefault="009436A1" w:rsidP="009436A1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Differences as great as 0.5 mm/yr from the stated rates in this solution set should be expected from students and accepted as correct.</w:t>
      </w:r>
      <w:bookmarkStart w:id="1" w:name="_GoBack"/>
      <w:bookmarkEnd w:id="1"/>
    </w:p>
    <w:sectPr w:rsidR="009436A1" w:rsidRPr="002314D7" w:rsidSect="002905CA">
      <w:pgSz w:w="12240" w:h="15840"/>
      <w:pgMar w:top="1440" w:right="1440" w:bottom="1440" w:left="1440" w:gutter="0"/>
      <w:docGrid w:linePitch="36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elle Philibosian" w:date="2011-03-22T12:02:00Z" w:initials="BP">
    <w:p w:rsidR="002C56A7" w:rsidRDefault="002C56A7">
      <w:pPr>
        <w:pStyle w:val="CommentText"/>
      </w:pPr>
      <w:r>
        <w:rPr>
          <w:rStyle w:val="CommentReference"/>
        </w:rPr>
        <w:annotationRef/>
      </w:r>
      <w:r>
        <w:t>A couple of comments on Fig. 1: The extraneous information in the 1a legend (SITES and SOURCES) may be distracting to teachers and students alike; could delete.  Also, maybe should update 1c to show 2007 rupture area.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BCA"/>
    <w:multiLevelType w:val="hybridMultilevel"/>
    <w:tmpl w:val="48C65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0A46"/>
    <w:multiLevelType w:val="hybridMultilevel"/>
    <w:tmpl w:val="4B48A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84564"/>
    <w:multiLevelType w:val="hybridMultilevel"/>
    <w:tmpl w:val="8ED62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E1A27"/>
    <w:multiLevelType w:val="hybridMultilevel"/>
    <w:tmpl w:val="DBDE7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6A4E"/>
    <w:multiLevelType w:val="hybridMultilevel"/>
    <w:tmpl w:val="852C6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227AB"/>
    <w:multiLevelType w:val="hybridMultilevel"/>
    <w:tmpl w:val="2E025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38131F"/>
    <w:rsid w:val="00015E32"/>
    <w:rsid w:val="001B3C36"/>
    <w:rsid w:val="00226E33"/>
    <w:rsid w:val="002314D7"/>
    <w:rsid w:val="002905CA"/>
    <w:rsid w:val="002C56A7"/>
    <w:rsid w:val="0038131F"/>
    <w:rsid w:val="00407C1B"/>
    <w:rsid w:val="00474C44"/>
    <w:rsid w:val="004B11BF"/>
    <w:rsid w:val="00522489"/>
    <w:rsid w:val="00590DD4"/>
    <w:rsid w:val="005B4327"/>
    <w:rsid w:val="005E5F0F"/>
    <w:rsid w:val="0073682B"/>
    <w:rsid w:val="00781420"/>
    <w:rsid w:val="00811D22"/>
    <w:rsid w:val="0086681E"/>
    <w:rsid w:val="00940290"/>
    <w:rsid w:val="009436A1"/>
    <w:rsid w:val="00997FFE"/>
    <w:rsid w:val="009A23B3"/>
    <w:rsid w:val="009E14F6"/>
    <w:rsid w:val="00A57C23"/>
    <w:rsid w:val="00B46008"/>
    <w:rsid w:val="00B572F4"/>
    <w:rsid w:val="00D50051"/>
    <w:rsid w:val="00D83E5C"/>
    <w:rsid w:val="00E374CA"/>
    <w:rsid w:val="00E53319"/>
    <w:rsid w:val="00FA4152"/>
    <w:rsid w:val="00FF701E"/>
  </w:rsids>
  <m:mathPr>
    <m:mathFont m:val="Marlet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81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comments" Target="comments.xml"/><Relationship Id="rId7" Type="http://schemas.openxmlformats.org/officeDocument/2006/relationships/chart" Target="charts/chart2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le\Documents\Research\Indonesia\corals\outreach\MiniLessonSolutionPlo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le\Documents\Research\Indonesia\corals\outreach\MiniLessonSolutionPlo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le\Documents\Research\Indonesia\corals\outreach\MiniLessonSolutionPlo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/>
          <a:lstStyle/>
          <a:p>
            <a:pPr>
              <a:defRPr sz="1600" b="0"/>
            </a:pPr>
            <a:r>
              <a:rPr lang="en-US" sz="1600" b="0"/>
              <a:t>Head</a:t>
            </a:r>
            <a:r>
              <a:rPr lang="en-US" sz="1600" b="0" baseline="0"/>
              <a:t> Bai Plot</a:t>
            </a:r>
            <a:endParaRPr lang="en-US" sz="1600" b="0"/>
          </a:p>
        </c:rich>
      </c:tx>
      <c:layout/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</c:marker>
          <c:xVal>
            <c:numRef>
              <c:f>Bai!$A$1:$A$41</c:f>
              <c:numCache>
                <c:formatCode>General</c:formatCode>
                <c:ptCount val="41"/>
                <c:pt idx="0">
                  <c:v>1957.0</c:v>
                </c:pt>
                <c:pt idx="1">
                  <c:v>1958.0</c:v>
                </c:pt>
                <c:pt idx="2">
                  <c:v>1959.0</c:v>
                </c:pt>
                <c:pt idx="3">
                  <c:v>1960.0</c:v>
                </c:pt>
                <c:pt idx="4">
                  <c:v>1961.0</c:v>
                </c:pt>
                <c:pt idx="5">
                  <c:v>1962.0</c:v>
                </c:pt>
                <c:pt idx="6">
                  <c:v>1963.0</c:v>
                </c:pt>
                <c:pt idx="7">
                  <c:v>1964.0</c:v>
                </c:pt>
                <c:pt idx="8">
                  <c:v>1965.0</c:v>
                </c:pt>
                <c:pt idx="9">
                  <c:v>1966.0</c:v>
                </c:pt>
                <c:pt idx="10">
                  <c:v>1967.0</c:v>
                </c:pt>
                <c:pt idx="11">
                  <c:v>1968.0</c:v>
                </c:pt>
                <c:pt idx="12">
                  <c:v>1969.0</c:v>
                </c:pt>
                <c:pt idx="13">
                  <c:v>1970.0</c:v>
                </c:pt>
                <c:pt idx="14">
                  <c:v>1971.0</c:v>
                </c:pt>
                <c:pt idx="15">
                  <c:v>1972.0</c:v>
                </c:pt>
                <c:pt idx="16">
                  <c:v>1973.0</c:v>
                </c:pt>
                <c:pt idx="17">
                  <c:v>1974.0</c:v>
                </c:pt>
                <c:pt idx="18">
                  <c:v>1975.0</c:v>
                </c:pt>
                <c:pt idx="19">
                  <c:v>1976.0</c:v>
                </c:pt>
                <c:pt idx="20">
                  <c:v>1977.0</c:v>
                </c:pt>
                <c:pt idx="21">
                  <c:v>1978.0</c:v>
                </c:pt>
                <c:pt idx="22">
                  <c:v>1979.0</c:v>
                </c:pt>
                <c:pt idx="23">
                  <c:v>1980.0</c:v>
                </c:pt>
                <c:pt idx="24">
                  <c:v>1981.0</c:v>
                </c:pt>
                <c:pt idx="25">
                  <c:v>1982.0</c:v>
                </c:pt>
                <c:pt idx="26">
                  <c:v>1983.0</c:v>
                </c:pt>
                <c:pt idx="27">
                  <c:v>1984.0</c:v>
                </c:pt>
                <c:pt idx="28">
                  <c:v>1985.0</c:v>
                </c:pt>
                <c:pt idx="29">
                  <c:v>1986.0</c:v>
                </c:pt>
                <c:pt idx="30">
                  <c:v>1987.0</c:v>
                </c:pt>
                <c:pt idx="31">
                  <c:v>1988.0</c:v>
                </c:pt>
                <c:pt idx="32">
                  <c:v>1989.0</c:v>
                </c:pt>
                <c:pt idx="33">
                  <c:v>1990.0</c:v>
                </c:pt>
                <c:pt idx="34">
                  <c:v>1991.0</c:v>
                </c:pt>
                <c:pt idx="35">
                  <c:v>1992.0</c:v>
                </c:pt>
                <c:pt idx="36">
                  <c:v>1993.0</c:v>
                </c:pt>
                <c:pt idx="37">
                  <c:v>1994.0</c:v>
                </c:pt>
                <c:pt idx="38">
                  <c:v>1995.0</c:v>
                </c:pt>
                <c:pt idx="39">
                  <c:v>1996.0</c:v>
                </c:pt>
                <c:pt idx="40">
                  <c:v>1997.0</c:v>
                </c:pt>
              </c:numCache>
            </c:numRef>
          </c:xVal>
          <c:yVal>
            <c:numRef>
              <c:f>Bai!$C$1:$C$41</c:f>
              <c:numCache>
                <c:formatCode>General</c:formatCode>
                <c:ptCount val="41"/>
                <c:pt idx="0">
                  <c:v>7.118644067796609</c:v>
                </c:pt>
                <c:pt idx="1">
                  <c:v>8.135593220338982</c:v>
                </c:pt>
                <c:pt idx="2">
                  <c:v>9.661016949152541</c:v>
                </c:pt>
                <c:pt idx="3">
                  <c:v>10.16949152542373</c:v>
                </c:pt>
                <c:pt idx="4">
                  <c:v>10.50847457627119</c:v>
                </c:pt>
                <c:pt idx="5">
                  <c:v>10.67796610169492</c:v>
                </c:pt>
                <c:pt idx="6">
                  <c:v>5.762711864406778</c:v>
                </c:pt>
                <c:pt idx="7">
                  <c:v>6.271186440677965</c:v>
                </c:pt>
                <c:pt idx="8">
                  <c:v>7.288135593220338</c:v>
                </c:pt>
                <c:pt idx="9">
                  <c:v>8.135593220338982</c:v>
                </c:pt>
                <c:pt idx="10">
                  <c:v>8.983050847457626</c:v>
                </c:pt>
                <c:pt idx="11">
                  <c:v>10.0</c:v>
                </c:pt>
                <c:pt idx="12">
                  <c:v>11.01694915254237</c:v>
                </c:pt>
                <c:pt idx="13">
                  <c:v>11.1864406779661</c:v>
                </c:pt>
                <c:pt idx="14">
                  <c:v>12.3728813559322</c:v>
                </c:pt>
                <c:pt idx="15">
                  <c:v>13.22033898305084</c:v>
                </c:pt>
                <c:pt idx="16">
                  <c:v>13.89830508474576</c:v>
                </c:pt>
                <c:pt idx="17">
                  <c:v>14.74576271186441</c:v>
                </c:pt>
                <c:pt idx="18">
                  <c:v>14.23728813559322</c:v>
                </c:pt>
                <c:pt idx="19">
                  <c:v>12.54237288135593</c:v>
                </c:pt>
                <c:pt idx="20">
                  <c:v>12.88135593220339</c:v>
                </c:pt>
                <c:pt idx="21">
                  <c:v>9.491525423728813</c:v>
                </c:pt>
                <c:pt idx="22">
                  <c:v>10.0</c:v>
                </c:pt>
                <c:pt idx="23">
                  <c:v>8.47457627118644</c:v>
                </c:pt>
                <c:pt idx="24">
                  <c:v>8.983050847457626</c:v>
                </c:pt>
                <c:pt idx="25">
                  <c:v>9.322033898305086</c:v>
                </c:pt>
                <c:pt idx="26">
                  <c:v>8.135593220338982</c:v>
                </c:pt>
                <c:pt idx="27">
                  <c:v>8.47457627118644</c:v>
                </c:pt>
                <c:pt idx="28">
                  <c:v>6.440677966101695</c:v>
                </c:pt>
                <c:pt idx="29">
                  <c:v>7.118644067796609</c:v>
                </c:pt>
                <c:pt idx="30">
                  <c:v>7.288135593220338</c:v>
                </c:pt>
                <c:pt idx="31">
                  <c:v>6.271186440677965</c:v>
                </c:pt>
                <c:pt idx="32">
                  <c:v>5.423728813559322</c:v>
                </c:pt>
                <c:pt idx="33">
                  <c:v>5.59322033898305</c:v>
                </c:pt>
                <c:pt idx="34">
                  <c:v>6.271186440677965</c:v>
                </c:pt>
                <c:pt idx="35">
                  <c:v>5.254237288135592</c:v>
                </c:pt>
                <c:pt idx="36">
                  <c:v>5.084745762711865</c:v>
                </c:pt>
                <c:pt idx="37">
                  <c:v>3.898305084745762</c:v>
                </c:pt>
                <c:pt idx="38">
                  <c:v>4.57627118644068</c:v>
                </c:pt>
                <c:pt idx="39">
                  <c:v>0.847457627118644</c:v>
                </c:pt>
                <c:pt idx="40">
                  <c:v>1.525423728813559</c:v>
                </c:pt>
              </c:numCache>
            </c:numRef>
          </c:yVal>
        </c:ser>
        <c:dLbls/>
        <c:axId val="594335176"/>
        <c:axId val="674132200"/>
      </c:scatterChart>
      <c:valAx>
        <c:axId val="594335176"/>
        <c:scaling>
          <c:orientation val="minMax"/>
        </c:scaling>
        <c:axPos val="b"/>
        <c:numFmt formatCode="General" sourceLinked="1"/>
        <c:tickLblPos val="nextTo"/>
        <c:crossAx val="674132200"/>
        <c:crosses val="autoZero"/>
        <c:crossBetween val="midCat"/>
      </c:valAx>
      <c:valAx>
        <c:axId val="674132200"/>
        <c:scaling>
          <c:orientation val="minMax"/>
          <c:max val="20.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elevation of HLS (cm)</a:t>
                </a:r>
              </a:p>
            </c:rich>
          </c:tx>
          <c:layout/>
        </c:title>
        <c:numFmt formatCode="General" sourceLinked="1"/>
        <c:tickLblPos val="nextTo"/>
        <c:crossAx val="594335176"/>
        <c:crosses val="autoZero"/>
        <c:crossBetween val="midCat"/>
        <c:majorUnit val="4.0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hart>
    <c:title>
      <c:tx>
        <c:rich>
          <a:bodyPr/>
          <a:lstStyle/>
          <a:p>
            <a:pPr>
              <a:defRPr sz="1400" b="0"/>
            </a:pPr>
            <a:r>
              <a:rPr lang="en-US" sz="1400" b="0"/>
              <a:t>Head Tb1 Plot</a:t>
            </a:r>
          </a:p>
        </c:rich>
      </c:tx>
      <c:layout>
        <c:manualLayout>
          <c:xMode val="edge"/>
          <c:yMode val="edge"/>
          <c:x val="0.363472638243682"/>
          <c:y val="0.0"/>
        </c:manualLayout>
      </c:layout>
    </c:title>
    <c:plotArea>
      <c:layout>
        <c:manualLayout>
          <c:layoutTarget val="inner"/>
          <c:xMode val="edge"/>
          <c:yMode val="edge"/>
          <c:x val="0.139000053808764"/>
          <c:y val="0.111292921867711"/>
          <c:w val="0.64222407603792"/>
          <c:h val="0.768859181528808"/>
        </c:manualLayout>
      </c:layout>
      <c:scatterChart>
        <c:scatterStyle val="lineMarker"/>
        <c:ser>
          <c:idx val="0"/>
          <c:order val="0"/>
          <c:tx>
            <c:v>minimum</c:v>
          </c:tx>
          <c:spPr>
            <a:ln w="28575">
              <a:noFill/>
            </a:ln>
          </c:spPr>
          <c:marker>
            <c:symbol val="triangle"/>
            <c:size val="3"/>
            <c:spPr>
              <a:solidFill>
                <a:srgbClr val="FF0000"/>
              </a:solidFill>
              <a:ln>
                <a:solidFill>
                  <a:srgbClr val="000000"/>
                </a:solidFill>
              </a:ln>
            </c:spPr>
          </c:marker>
          <c:xVal>
            <c:numRef>
              <c:f>'Tb1'!$A$2:$A$75</c:f>
              <c:numCache>
                <c:formatCode>General</c:formatCode>
                <c:ptCount val="74"/>
                <c:pt idx="0">
                  <c:v>2000.0</c:v>
                </c:pt>
                <c:pt idx="1">
                  <c:v>1999.0</c:v>
                </c:pt>
                <c:pt idx="2">
                  <c:v>1998.0</c:v>
                </c:pt>
                <c:pt idx="3">
                  <c:v>1997.0</c:v>
                </c:pt>
                <c:pt idx="4">
                  <c:v>1996.0</c:v>
                </c:pt>
                <c:pt idx="5">
                  <c:v>1995.0</c:v>
                </c:pt>
                <c:pt idx="6">
                  <c:v>1994.0</c:v>
                </c:pt>
                <c:pt idx="7">
                  <c:v>1993.0</c:v>
                </c:pt>
                <c:pt idx="8">
                  <c:v>1992.0</c:v>
                </c:pt>
                <c:pt idx="9">
                  <c:v>1991.0</c:v>
                </c:pt>
                <c:pt idx="10">
                  <c:v>1990.0</c:v>
                </c:pt>
                <c:pt idx="11">
                  <c:v>1989.0</c:v>
                </c:pt>
                <c:pt idx="12">
                  <c:v>1988.0</c:v>
                </c:pt>
                <c:pt idx="13">
                  <c:v>1987.0</c:v>
                </c:pt>
                <c:pt idx="14">
                  <c:v>1986.0</c:v>
                </c:pt>
                <c:pt idx="15">
                  <c:v>1985.0</c:v>
                </c:pt>
                <c:pt idx="16">
                  <c:v>1984.0</c:v>
                </c:pt>
                <c:pt idx="17">
                  <c:v>1983.0</c:v>
                </c:pt>
                <c:pt idx="18">
                  <c:v>1982.0</c:v>
                </c:pt>
                <c:pt idx="19">
                  <c:v>1981.0</c:v>
                </c:pt>
                <c:pt idx="20">
                  <c:v>1980.0</c:v>
                </c:pt>
                <c:pt idx="21">
                  <c:v>1979.0</c:v>
                </c:pt>
                <c:pt idx="22">
                  <c:v>1978.0</c:v>
                </c:pt>
                <c:pt idx="23">
                  <c:v>1977.0</c:v>
                </c:pt>
                <c:pt idx="24">
                  <c:v>1976.0</c:v>
                </c:pt>
                <c:pt idx="25">
                  <c:v>1975.0</c:v>
                </c:pt>
                <c:pt idx="26">
                  <c:v>1974.0</c:v>
                </c:pt>
                <c:pt idx="27">
                  <c:v>1973.0</c:v>
                </c:pt>
                <c:pt idx="28">
                  <c:v>1972.0</c:v>
                </c:pt>
                <c:pt idx="29">
                  <c:v>1971.0</c:v>
                </c:pt>
                <c:pt idx="30">
                  <c:v>1970.0</c:v>
                </c:pt>
                <c:pt idx="31">
                  <c:v>1969.0</c:v>
                </c:pt>
                <c:pt idx="32">
                  <c:v>1968.0</c:v>
                </c:pt>
                <c:pt idx="33">
                  <c:v>1967.0</c:v>
                </c:pt>
                <c:pt idx="34">
                  <c:v>1966.0</c:v>
                </c:pt>
                <c:pt idx="35">
                  <c:v>1965.0</c:v>
                </c:pt>
                <c:pt idx="36">
                  <c:v>1964.0</c:v>
                </c:pt>
                <c:pt idx="37">
                  <c:v>1963.0</c:v>
                </c:pt>
                <c:pt idx="38">
                  <c:v>1962.0</c:v>
                </c:pt>
                <c:pt idx="39">
                  <c:v>1961.0</c:v>
                </c:pt>
                <c:pt idx="40">
                  <c:v>1960.0</c:v>
                </c:pt>
                <c:pt idx="41">
                  <c:v>1959.0</c:v>
                </c:pt>
                <c:pt idx="42">
                  <c:v>1958.0</c:v>
                </c:pt>
                <c:pt idx="43">
                  <c:v>1957.0</c:v>
                </c:pt>
                <c:pt idx="44">
                  <c:v>1956.0</c:v>
                </c:pt>
                <c:pt idx="45">
                  <c:v>1955.0</c:v>
                </c:pt>
                <c:pt idx="46">
                  <c:v>1954.0</c:v>
                </c:pt>
                <c:pt idx="47">
                  <c:v>1953.0</c:v>
                </c:pt>
                <c:pt idx="48">
                  <c:v>1952.0</c:v>
                </c:pt>
                <c:pt idx="49">
                  <c:v>1951.0</c:v>
                </c:pt>
                <c:pt idx="50">
                  <c:v>1950.0</c:v>
                </c:pt>
                <c:pt idx="51">
                  <c:v>1949.0</c:v>
                </c:pt>
                <c:pt idx="52">
                  <c:v>1948.0</c:v>
                </c:pt>
                <c:pt idx="53">
                  <c:v>1947.0</c:v>
                </c:pt>
                <c:pt idx="54">
                  <c:v>1946.0</c:v>
                </c:pt>
                <c:pt idx="55">
                  <c:v>1945.0</c:v>
                </c:pt>
                <c:pt idx="56">
                  <c:v>1944.0</c:v>
                </c:pt>
                <c:pt idx="57">
                  <c:v>1943.0</c:v>
                </c:pt>
                <c:pt idx="58">
                  <c:v>1942.0</c:v>
                </c:pt>
                <c:pt idx="59">
                  <c:v>1941.0</c:v>
                </c:pt>
                <c:pt idx="60">
                  <c:v>1940.0</c:v>
                </c:pt>
                <c:pt idx="61">
                  <c:v>1939.0</c:v>
                </c:pt>
                <c:pt idx="62">
                  <c:v>1938.0</c:v>
                </c:pt>
                <c:pt idx="63">
                  <c:v>1937.0</c:v>
                </c:pt>
                <c:pt idx="64">
                  <c:v>1936.0</c:v>
                </c:pt>
                <c:pt idx="65">
                  <c:v>1935.0</c:v>
                </c:pt>
                <c:pt idx="66">
                  <c:v>1934.0</c:v>
                </c:pt>
                <c:pt idx="67">
                  <c:v>1933.0</c:v>
                </c:pt>
                <c:pt idx="68">
                  <c:v>1932.0</c:v>
                </c:pt>
                <c:pt idx="69">
                  <c:v>1931.0</c:v>
                </c:pt>
                <c:pt idx="70">
                  <c:v>1930.0</c:v>
                </c:pt>
                <c:pt idx="71">
                  <c:v>1929.0</c:v>
                </c:pt>
                <c:pt idx="72">
                  <c:v>1928.0</c:v>
                </c:pt>
                <c:pt idx="73">
                  <c:v>1927.0</c:v>
                </c:pt>
              </c:numCache>
            </c:numRef>
          </c:xVal>
          <c:yVal>
            <c:numRef>
              <c:f>'Tb1'!$C$2:$C$75</c:f>
              <c:numCache>
                <c:formatCode>General</c:formatCode>
                <c:ptCount val="74"/>
                <c:pt idx="0">
                  <c:v>0.0</c:v>
                </c:pt>
                <c:pt idx="1">
                  <c:v>-2.5</c:v>
                </c:pt>
                <c:pt idx="3">
                  <c:v>1.5625</c:v>
                </c:pt>
                <c:pt idx="4">
                  <c:v>0.0</c:v>
                </c:pt>
                <c:pt idx="5">
                  <c:v>-1.25</c:v>
                </c:pt>
                <c:pt idx="6">
                  <c:v>-3.125</c:v>
                </c:pt>
                <c:pt idx="15">
                  <c:v>-4.062499999999997</c:v>
                </c:pt>
                <c:pt idx="16">
                  <c:v>-5.624999999999995</c:v>
                </c:pt>
                <c:pt idx="17">
                  <c:v>-7.187499999999997</c:v>
                </c:pt>
                <c:pt idx="18">
                  <c:v>-8.75</c:v>
                </c:pt>
                <c:pt idx="19">
                  <c:v>-9.6875</c:v>
                </c:pt>
                <c:pt idx="20">
                  <c:v>-10.625</c:v>
                </c:pt>
                <c:pt idx="27">
                  <c:v>-5.624999999999995</c:v>
                </c:pt>
                <c:pt idx="28">
                  <c:v>-6.875</c:v>
                </c:pt>
                <c:pt idx="32">
                  <c:v>-10.3125</c:v>
                </c:pt>
                <c:pt idx="33">
                  <c:v>-11.25</c:v>
                </c:pt>
                <c:pt idx="34">
                  <c:v>-12.8125</c:v>
                </c:pt>
                <c:pt idx="35">
                  <c:v>-14.0625</c:v>
                </c:pt>
                <c:pt idx="36">
                  <c:v>-15.625</c:v>
                </c:pt>
                <c:pt idx="37">
                  <c:v>-17.5</c:v>
                </c:pt>
                <c:pt idx="43">
                  <c:v>-15.9375</c:v>
                </c:pt>
                <c:pt idx="44">
                  <c:v>-17.1875</c:v>
                </c:pt>
                <c:pt idx="52">
                  <c:v>-21.25</c:v>
                </c:pt>
                <c:pt idx="53">
                  <c:v>-22.5</c:v>
                </c:pt>
                <c:pt idx="54">
                  <c:v>-24.0625</c:v>
                </c:pt>
                <c:pt idx="55">
                  <c:v>-25.3125</c:v>
                </c:pt>
                <c:pt idx="56">
                  <c:v>-26.5625</c:v>
                </c:pt>
                <c:pt idx="57">
                  <c:v>-27.8125</c:v>
                </c:pt>
                <c:pt idx="58">
                  <c:v>-28.75</c:v>
                </c:pt>
                <c:pt idx="59">
                  <c:v>-30.3125</c:v>
                </c:pt>
                <c:pt idx="60">
                  <c:v>-31.5625</c:v>
                </c:pt>
                <c:pt idx="61">
                  <c:v>-32.8125</c:v>
                </c:pt>
                <c:pt idx="65">
                  <c:v>-32.8125</c:v>
                </c:pt>
                <c:pt idx="66">
                  <c:v>-34.0625</c:v>
                </c:pt>
                <c:pt idx="67">
                  <c:v>-35.625</c:v>
                </c:pt>
                <c:pt idx="68">
                  <c:v>-37.1875</c:v>
                </c:pt>
                <c:pt idx="69">
                  <c:v>-39.0625</c:v>
                </c:pt>
                <c:pt idx="70">
                  <c:v>-40.9375</c:v>
                </c:pt>
                <c:pt idx="71">
                  <c:v>-42.1875</c:v>
                </c:pt>
                <c:pt idx="72">
                  <c:v>-43.75</c:v>
                </c:pt>
                <c:pt idx="73">
                  <c:v>-45.3125</c:v>
                </c:pt>
              </c:numCache>
            </c:numRef>
          </c:yVal>
        </c:ser>
        <c:ser>
          <c:idx val="1"/>
          <c:order val="1"/>
          <c:tx>
            <c:v>unconformity</c:v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  <a:ln>
                <a:solidFill>
                  <a:srgbClr val="000000"/>
                </a:solidFill>
              </a:ln>
            </c:spPr>
          </c:marker>
          <c:xVal>
            <c:numRef>
              <c:f>'Tb1'!$A$2:$A$75</c:f>
              <c:numCache>
                <c:formatCode>General</c:formatCode>
                <c:ptCount val="74"/>
                <c:pt idx="0">
                  <c:v>2000.0</c:v>
                </c:pt>
                <c:pt idx="1">
                  <c:v>1999.0</c:v>
                </c:pt>
                <c:pt idx="2">
                  <c:v>1998.0</c:v>
                </c:pt>
                <c:pt idx="3">
                  <c:v>1997.0</c:v>
                </c:pt>
                <c:pt idx="4">
                  <c:v>1996.0</c:v>
                </c:pt>
                <c:pt idx="5">
                  <c:v>1995.0</c:v>
                </c:pt>
                <c:pt idx="6">
                  <c:v>1994.0</c:v>
                </c:pt>
                <c:pt idx="7">
                  <c:v>1993.0</c:v>
                </c:pt>
                <c:pt idx="8">
                  <c:v>1992.0</c:v>
                </c:pt>
                <c:pt idx="9">
                  <c:v>1991.0</c:v>
                </c:pt>
                <c:pt idx="10">
                  <c:v>1990.0</c:v>
                </c:pt>
                <c:pt idx="11">
                  <c:v>1989.0</c:v>
                </c:pt>
                <c:pt idx="12">
                  <c:v>1988.0</c:v>
                </c:pt>
                <c:pt idx="13">
                  <c:v>1987.0</c:v>
                </c:pt>
                <c:pt idx="14">
                  <c:v>1986.0</c:v>
                </c:pt>
                <c:pt idx="15">
                  <c:v>1985.0</c:v>
                </c:pt>
                <c:pt idx="16">
                  <c:v>1984.0</c:v>
                </c:pt>
                <c:pt idx="17">
                  <c:v>1983.0</c:v>
                </c:pt>
                <c:pt idx="18">
                  <c:v>1982.0</c:v>
                </c:pt>
                <c:pt idx="19">
                  <c:v>1981.0</c:v>
                </c:pt>
                <c:pt idx="20">
                  <c:v>1980.0</c:v>
                </c:pt>
                <c:pt idx="21">
                  <c:v>1979.0</c:v>
                </c:pt>
                <c:pt idx="22">
                  <c:v>1978.0</c:v>
                </c:pt>
                <c:pt idx="23">
                  <c:v>1977.0</c:v>
                </c:pt>
                <c:pt idx="24">
                  <c:v>1976.0</c:v>
                </c:pt>
                <c:pt idx="25">
                  <c:v>1975.0</c:v>
                </c:pt>
                <c:pt idx="26">
                  <c:v>1974.0</c:v>
                </c:pt>
                <c:pt idx="27">
                  <c:v>1973.0</c:v>
                </c:pt>
                <c:pt idx="28">
                  <c:v>1972.0</c:v>
                </c:pt>
                <c:pt idx="29">
                  <c:v>1971.0</c:v>
                </c:pt>
                <c:pt idx="30">
                  <c:v>1970.0</c:v>
                </c:pt>
                <c:pt idx="31">
                  <c:v>1969.0</c:v>
                </c:pt>
                <c:pt idx="32">
                  <c:v>1968.0</c:v>
                </c:pt>
                <c:pt idx="33">
                  <c:v>1967.0</c:v>
                </c:pt>
                <c:pt idx="34">
                  <c:v>1966.0</c:v>
                </c:pt>
                <c:pt idx="35">
                  <c:v>1965.0</c:v>
                </c:pt>
                <c:pt idx="36">
                  <c:v>1964.0</c:v>
                </c:pt>
                <c:pt idx="37">
                  <c:v>1963.0</c:v>
                </c:pt>
                <c:pt idx="38">
                  <c:v>1962.0</c:v>
                </c:pt>
                <c:pt idx="39">
                  <c:v>1961.0</c:v>
                </c:pt>
                <c:pt idx="40">
                  <c:v>1960.0</c:v>
                </c:pt>
                <c:pt idx="41">
                  <c:v>1959.0</c:v>
                </c:pt>
                <c:pt idx="42">
                  <c:v>1958.0</c:v>
                </c:pt>
                <c:pt idx="43">
                  <c:v>1957.0</c:v>
                </c:pt>
                <c:pt idx="44">
                  <c:v>1956.0</c:v>
                </c:pt>
                <c:pt idx="45">
                  <c:v>1955.0</c:v>
                </c:pt>
                <c:pt idx="46">
                  <c:v>1954.0</c:v>
                </c:pt>
                <c:pt idx="47">
                  <c:v>1953.0</c:v>
                </c:pt>
                <c:pt idx="48">
                  <c:v>1952.0</c:v>
                </c:pt>
                <c:pt idx="49">
                  <c:v>1951.0</c:v>
                </c:pt>
                <c:pt idx="50">
                  <c:v>1950.0</c:v>
                </c:pt>
                <c:pt idx="51">
                  <c:v>1949.0</c:v>
                </c:pt>
                <c:pt idx="52">
                  <c:v>1948.0</c:v>
                </c:pt>
                <c:pt idx="53">
                  <c:v>1947.0</c:v>
                </c:pt>
                <c:pt idx="54">
                  <c:v>1946.0</c:v>
                </c:pt>
                <c:pt idx="55">
                  <c:v>1945.0</c:v>
                </c:pt>
                <c:pt idx="56">
                  <c:v>1944.0</c:v>
                </c:pt>
                <c:pt idx="57">
                  <c:v>1943.0</c:v>
                </c:pt>
                <c:pt idx="58">
                  <c:v>1942.0</c:v>
                </c:pt>
                <c:pt idx="59">
                  <c:v>1941.0</c:v>
                </c:pt>
                <c:pt idx="60">
                  <c:v>1940.0</c:v>
                </c:pt>
                <c:pt idx="61">
                  <c:v>1939.0</c:v>
                </c:pt>
                <c:pt idx="62">
                  <c:v>1938.0</c:v>
                </c:pt>
                <c:pt idx="63">
                  <c:v>1937.0</c:v>
                </c:pt>
                <c:pt idx="64">
                  <c:v>1936.0</c:v>
                </c:pt>
                <c:pt idx="65">
                  <c:v>1935.0</c:v>
                </c:pt>
                <c:pt idx="66">
                  <c:v>1934.0</c:v>
                </c:pt>
                <c:pt idx="67">
                  <c:v>1933.0</c:v>
                </c:pt>
                <c:pt idx="68">
                  <c:v>1932.0</c:v>
                </c:pt>
                <c:pt idx="69">
                  <c:v>1931.0</c:v>
                </c:pt>
                <c:pt idx="70">
                  <c:v>1930.0</c:v>
                </c:pt>
                <c:pt idx="71">
                  <c:v>1929.0</c:v>
                </c:pt>
                <c:pt idx="72">
                  <c:v>1928.0</c:v>
                </c:pt>
                <c:pt idx="73">
                  <c:v>1927.0</c:v>
                </c:pt>
              </c:numCache>
            </c:numRef>
          </c:xVal>
          <c:yVal>
            <c:numRef>
              <c:f>'Tb1'!$D$2:$D$75</c:f>
              <c:numCache>
                <c:formatCode>General</c:formatCode>
                <c:ptCount val="74"/>
                <c:pt idx="2">
                  <c:v>-4.687499999999997</c:v>
                </c:pt>
                <c:pt idx="7">
                  <c:v>-4.687499999999997</c:v>
                </c:pt>
                <c:pt idx="21">
                  <c:v>-10.3125</c:v>
                </c:pt>
                <c:pt idx="29">
                  <c:v>-7.812499999999997</c:v>
                </c:pt>
                <c:pt idx="38">
                  <c:v>-18.75</c:v>
                </c:pt>
                <c:pt idx="45">
                  <c:v>-15.9375</c:v>
                </c:pt>
                <c:pt idx="62">
                  <c:v>-33.125</c:v>
                </c:pt>
              </c:numCache>
            </c:numRef>
          </c:yVal>
        </c:ser>
        <c:ser>
          <c:idx val="2"/>
          <c:order val="2"/>
          <c:tx>
            <c:v>eroded</c:v>
          </c:tx>
          <c:spPr>
            <a:ln w="28575">
              <a:noFill/>
            </a:ln>
          </c:spPr>
          <c:marker>
            <c:symbol val="square"/>
            <c:size val="3"/>
            <c:spPr>
              <a:solidFill>
                <a:srgbClr val="FF0000"/>
              </a:solidFill>
              <a:ln>
                <a:solidFill>
                  <a:srgbClr val="000000"/>
                </a:solidFill>
              </a:ln>
            </c:spPr>
          </c:marker>
          <c:xVal>
            <c:numRef>
              <c:f>'Tb1'!$A$2:$A$75</c:f>
              <c:numCache>
                <c:formatCode>General</c:formatCode>
                <c:ptCount val="74"/>
                <c:pt idx="0">
                  <c:v>2000.0</c:v>
                </c:pt>
                <c:pt idx="1">
                  <c:v>1999.0</c:v>
                </c:pt>
                <c:pt idx="2">
                  <c:v>1998.0</c:v>
                </c:pt>
                <c:pt idx="3">
                  <c:v>1997.0</c:v>
                </c:pt>
                <c:pt idx="4">
                  <c:v>1996.0</c:v>
                </c:pt>
                <c:pt idx="5">
                  <c:v>1995.0</c:v>
                </c:pt>
                <c:pt idx="6">
                  <c:v>1994.0</c:v>
                </c:pt>
                <c:pt idx="7">
                  <c:v>1993.0</c:v>
                </c:pt>
                <c:pt idx="8">
                  <c:v>1992.0</c:v>
                </c:pt>
                <c:pt idx="9">
                  <c:v>1991.0</c:v>
                </c:pt>
                <c:pt idx="10">
                  <c:v>1990.0</c:v>
                </c:pt>
                <c:pt idx="11">
                  <c:v>1989.0</c:v>
                </c:pt>
                <c:pt idx="12">
                  <c:v>1988.0</c:v>
                </c:pt>
                <c:pt idx="13">
                  <c:v>1987.0</c:v>
                </c:pt>
                <c:pt idx="14">
                  <c:v>1986.0</c:v>
                </c:pt>
                <c:pt idx="15">
                  <c:v>1985.0</c:v>
                </c:pt>
                <c:pt idx="16">
                  <c:v>1984.0</c:v>
                </c:pt>
                <c:pt idx="17">
                  <c:v>1983.0</c:v>
                </c:pt>
                <c:pt idx="18">
                  <c:v>1982.0</c:v>
                </c:pt>
                <c:pt idx="19">
                  <c:v>1981.0</c:v>
                </c:pt>
                <c:pt idx="20">
                  <c:v>1980.0</c:v>
                </c:pt>
                <c:pt idx="21">
                  <c:v>1979.0</c:v>
                </c:pt>
                <c:pt idx="22">
                  <c:v>1978.0</c:v>
                </c:pt>
                <c:pt idx="23">
                  <c:v>1977.0</c:v>
                </c:pt>
                <c:pt idx="24">
                  <c:v>1976.0</c:v>
                </c:pt>
                <c:pt idx="25">
                  <c:v>1975.0</c:v>
                </c:pt>
                <c:pt idx="26">
                  <c:v>1974.0</c:v>
                </c:pt>
                <c:pt idx="27">
                  <c:v>1973.0</c:v>
                </c:pt>
                <c:pt idx="28">
                  <c:v>1972.0</c:v>
                </c:pt>
                <c:pt idx="29">
                  <c:v>1971.0</c:v>
                </c:pt>
                <c:pt idx="30">
                  <c:v>1970.0</c:v>
                </c:pt>
                <c:pt idx="31">
                  <c:v>1969.0</c:v>
                </c:pt>
                <c:pt idx="32">
                  <c:v>1968.0</c:v>
                </c:pt>
                <c:pt idx="33">
                  <c:v>1967.0</c:v>
                </c:pt>
                <c:pt idx="34">
                  <c:v>1966.0</c:v>
                </c:pt>
                <c:pt idx="35">
                  <c:v>1965.0</c:v>
                </c:pt>
                <c:pt idx="36">
                  <c:v>1964.0</c:v>
                </c:pt>
                <c:pt idx="37">
                  <c:v>1963.0</c:v>
                </c:pt>
                <c:pt idx="38">
                  <c:v>1962.0</c:v>
                </c:pt>
                <c:pt idx="39">
                  <c:v>1961.0</c:v>
                </c:pt>
                <c:pt idx="40">
                  <c:v>1960.0</c:v>
                </c:pt>
                <c:pt idx="41">
                  <c:v>1959.0</c:v>
                </c:pt>
                <c:pt idx="42">
                  <c:v>1958.0</c:v>
                </c:pt>
                <c:pt idx="43">
                  <c:v>1957.0</c:v>
                </c:pt>
                <c:pt idx="44">
                  <c:v>1956.0</c:v>
                </c:pt>
                <c:pt idx="45">
                  <c:v>1955.0</c:v>
                </c:pt>
                <c:pt idx="46">
                  <c:v>1954.0</c:v>
                </c:pt>
                <c:pt idx="47">
                  <c:v>1953.0</c:v>
                </c:pt>
                <c:pt idx="48">
                  <c:v>1952.0</c:v>
                </c:pt>
                <c:pt idx="49">
                  <c:v>1951.0</c:v>
                </c:pt>
                <c:pt idx="50">
                  <c:v>1950.0</c:v>
                </c:pt>
                <c:pt idx="51">
                  <c:v>1949.0</c:v>
                </c:pt>
                <c:pt idx="52">
                  <c:v>1948.0</c:v>
                </c:pt>
                <c:pt idx="53">
                  <c:v>1947.0</c:v>
                </c:pt>
                <c:pt idx="54">
                  <c:v>1946.0</c:v>
                </c:pt>
                <c:pt idx="55">
                  <c:v>1945.0</c:v>
                </c:pt>
                <c:pt idx="56">
                  <c:v>1944.0</c:v>
                </c:pt>
                <c:pt idx="57">
                  <c:v>1943.0</c:v>
                </c:pt>
                <c:pt idx="58">
                  <c:v>1942.0</c:v>
                </c:pt>
                <c:pt idx="59">
                  <c:v>1941.0</c:v>
                </c:pt>
                <c:pt idx="60">
                  <c:v>1940.0</c:v>
                </c:pt>
                <c:pt idx="61">
                  <c:v>1939.0</c:v>
                </c:pt>
                <c:pt idx="62">
                  <c:v>1938.0</c:v>
                </c:pt>
                <c:pt idx="63">
                  <c:v>1937.0</c:v>
                </c:pt>
                <c:pt idx="64">
                  <c:v>1936.0</c:v>
                </c:pt>
                <c:pt idx="65">
                  <c:v>1935.0</c:v>
                </c:pt>
                <c:pt idx="66">
                  <c:v>1934.0</c:v>
                </c:pt>
                <c:pt idx="67">
                  <c:v>1933.0</c:v>
                </c:pt>
                <c:pt idx="68">
                  <c:v>1932.0</c:v>
                </c:pt>
                <c:pt idx="69">
                  <c:v>1931.0</c:v>
                </c:pt>
                <c:pt idx="70">
                  <c:v>1930.0</c:v>
                </c:pt>
                <c:pt idx="71">
                  <c:v>1929.0</c:v>
                </c:pt>
                <c:pt idx="72">
                  <c:v>1928.0</c:v>
                </c:pt>
                <c:pt idx="73">
                  <c:v>1927.0</c:v>
                </c:pt>
              </c:numCache>
            </c:numRef>
          </c:xVal>
          <c:yVal>
            <c:numRef>
              <c:f>'Tb1'!$E$2:$E$75</c:f>
              <c:numCache>
                <c:formatCode>General</c:formatCode>
                <c:ptCount val="74"/>
                <c:pt idx="8">
                  <c:v>-1.875</c:v>
                </c:pt>
                <c:pt idx="9">
                  <c:v>-1.875</c:v>
                </c:pt>
                <c:pt idx="10">
                  <c:v>-1.25</c:v>
                </c:pt>
                <c:pt idx="11">
                  <c:v>0.625</c:v>
                </c:pt>
                <c:pt idx="12">
                  <c:v>-1.25</c:v>
                </c:pt>
                <c:pt idx="13">
                  <c:v>-2.1875</c:v>
                </c:pt>
                <c:pt idx="14">
                  <c:v>-2.8125</c:v>
                </c:pt>
                <c:pt idx="22">
                  <c:v>-6.875</c:v>
                </c:pt>
                <c:pt idx="23">
                  <c:v>-5.624999999999995</c:v>
                </c:pt>
                <c:pt idx="24">
                  <c:v>-4.375</c:v>
                </c:pt>
                <c:pt idx="25">
                  <c:v>-3.125</c:v>
                </c:pt>
                <c:pt idx="26">
                  <c:v>-4.375</c:v>
                </c:pt>
                <c:pt idx="30">
                  <c:v>-7.5</c:v>
                </c:pt>
                <c:pt idx="31">
                  <c:v>-8.75</c:v>
                </c:pt>
                <c:pt idx="39">
                  <c:v>-16.5625</c:v>
                </c:pt>
                <c:pt idx="40">
                  <c:v>-15.625</c:v>
                </c:pt>
                <c:pt idx="41">
                  <c:v>-15.0</c:v>
                </c:pt>
                <c:pt idx="42">
                  <c:v>-14.6875</c:v>
                </c:pt>
                <c:pt idx="46">
                  <c:v>-17.1875</c:v>
                </c:pt>
                <c:pt idx="47">
                  <c:v>-18.125</c:v>
                </c:pt>
                <c:pt idx="48">
                  <c:v>-19.0625</c:v>
                </c:pt>
                <c:pt idx="49">
                  <c:v>-19.375</c:v>
                </c:pt>
                <c:pt idx="50">
                  <c:v>-20.625</c:v>
                </c:pt>
                <c:pt idx="51">
                  <c:v>-20.0</c:v>
                </c:pt>
                <c:pt idx="63">
                  <c:v>-31.25</c:v>
                </c:pt>
                <c:pt idx="64">
                  <c:v>-32.5</c:v>
                </c:pt>
              </c:numCache>
            </c:numRef>
          </c:yVal>
        </c:ser>
        <c:axId val="589191000"/>
        <c:axId val="698445000"/>
      </c:scatterChart>
      <c:valAx>
        <c:axId val="589191000"/>
        <c:scaling>
          <c:orientation val="minMax"/>
          <c:max val="2000.0"/>
        </c:scaling>
        <c:axPos val="b"/>
        <c:numFmt formatCode="General" sourceLinked="1"/>
        <c:tickLblPos val="nextTo"/>
        <c:crossAx val="698445000"/>
        <c:crossesAt val="-50.0"/>
        <c:crossBetween val="midCat"/>
        <c:majorUnit val="10.0"/>
      </c:valAx>
      <c:valAx>
        <c:axId val="6984450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elevation of HLS (cm)</a:t>
                </a:r>
              </a:p>
            </c:rich>
          </c:tx>
          <c:layout/>
        </c:title>
        <c:numFmt formatCode="General" sourceLinked="1"/>
        <c:tickLblPos val="nextTo"/>
        <c:crossAx val="589191000"/>
        <c:crosses val="autoZero"/>
        <c:crossBetween val="midCat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title>
      <c:tx>
        <c:rich>
          <a:bodyPr/>
          <a:lstStyle/>
          <a:p>
            <a:pPr>
              <a:defRPr sz="1400" b="0"/>
            </a:pPr>
            <a:r>
              <a:rPr lang="en-US" sz="1400" b="0"/>
              <a:t>Head Tb2 Plot</a:t>
            </a:r>
          </a:p>
        </c:rich>
      </c:tx>
      <c:layout/>
    </c:title>
    <c:plotArea>
      <c:layout/>
      <c:scatterChart>
        <c:scatterStyle val="lineMarker"/>
        <c:ser>
          <c:idx val="0"/>
          <c:order val="0"/>
          <c:tx>
            <c:v>minimum (right)</c:v>
          </c:tx>
          <c:spPr>
            <a:ln w="28575">
              <a:noFill/>
            </a:ln>
          </c:spPr>
          <c:marker>
            <c:symbol val="triangle"/>
            <c:size val="3"/>
            <c:spPr>
              <a:solidFill>
                <a:srgbClr val="FF0000"/>
              </a:solidFill>
              <a:ln>
                <a:solidFill>
                  <a:srgbClr val="000000"/>
                </a:solidFill>
              </a:ln>
            </c:spPr>
          </c:marker>
          <c:xVal>
            <c:numRef>
              <c:f>'Tb2 right'!$A$2:$A$52</c:f>
              <c:numCache>
                <c:formatCode>General</c:formatCode>
                <c:ptCount val="51"/>
                <c:pt idx="0">
                  <c:v>1885.0</c:v>
                </c:pt>
                <c:pt idx="1">
                  <c:v>1886.0</c:v>
                </c:pt>
                <c:pt idx="2">
                  <c:v>1887.0</c:v>
                </c:pt>
                <c:pt idx="3">
                  <c:v>1888.0</c:v>
                </c:pt>
                <c:pt idx="4">
                  <c:v>1889.0</c:v>
                </c:pt>
                <c:pt idx="5">
                  <c:v>1890.0</c:v>
                </c:pt>
                <c:pt idx="6">
                  <c:v>1891.0</c:v>
                </c:pt>
                <c:pt idx="7">
                  <c:v>1892.0</c:v>
                </c:pt>
                <c:pt idx="8">
                  <c:v>1893.0</c:v>
                </c:pt>
                <c:pt idx="9">
                  <c:v>1894.0</c:v>
                </c:pt>
                <c:pt idx="10">
                  <c:v>1895.0</c:v>
                </c:pt>
                <c:pt idx="11">
                  <c:v>1896.0</c:v>
                </c:pt>
                <c:pt idx="12">
                  <c:v>1897.0</c:v>
                </c:pt>
                <c:pt idx="13">
                  <c:v>1898.0</c:v>
                </c:pt>
                <c:pt idx="14">
                  <c:v>1899.0</c:v>
                </c:pt>
                <c:pt idx="15">
                  <c:v>1900.0</c:v>
                </c:pt>
                <c:pt idx="16">
                  <c:v>1901.0</c:v>
                </c:pt>
                <c:pt idx="17">
                  <c:v>1902.0</c:v>
                </c:pt>
                <c:pt idx="18">
                  <c:v>1903.0</c:v>
                </c:pt>
                <c:pt idx="19">
                  <c:v>1904.0</c:v>
                </c:pt>
                <c:pt idx="20">
                  <c:v>1905.0</c:v>
                </c:pt>
                <c:pt idx="21">
                  <c:v>1906.0</c:v>
                </c:pt>
                <c:pt idx="22">
                  <c:v>1907.0</c:v>
                </c:pt>
                <c:pt idx="23">
                  <c:v>1908.0</c:v>
                </c:pt>
                <c:pt idx="24">
                  <c:v>1909.0</c:v>
                </c:pt>
                <c:pt idx="25">
                  <c:v>1910.0</c:v>
                </c:pt>
                <c:pt idx="26">
                  <c:v>1911.0</c:v>
                </c:pt>
                <c:pt idx="27">
                  <c:v>1912.0</c:v>
                </c:pt>
                <c:pt idx="28">
                  <c:v>1913.0</c:v>
                </c:pt>
                <c:pt idx="29">
                  <c:v>1914.0</c:v>
                </c:pt>
                <c:pt idx="30">
                  <c:v>1915.0</c:v>
                </c:pt>
                <c:pt idx="31">
                  <c:v>1916.0</c:v>
                </c:pt>
                <c:pt idx="32">
                  <c:v>1917.0</c:v>
                </c:pt>
                <c:pt idx="33">
                  <c:v>1918.0</c:v>
                </c:pt>
                <c:pt idx="34">
                  <c:v>1919.0</c:v>
                </c:pt>
                <c:pt idx="35">
                  <c:v>1920.0</c:v>
                </c:pt>
                <c:pt idx="36">
                  <c:v>1921.0</c:v>
                </c:pt>
                <c:pt idx="37">
                  <c:v>1922.0</c:v>
                </c:pt>
                <c:pt idx="38">
                  <c:v>1923.0</c:v>
                </c:pt>
                <c:pt idx="39">
                  <c:v>1924.0</c:v>
                </c:pt>
                <c:pt idx="40">
                  <c:v>1925.0</c:v>
                </c:pt>
                <c:pt idx="41">
                  <c:v>1926.0</c:v>
                </c:pt>
                <c:pt idx="42">
                  <c:v>1927.0</c:v>
                </c:pt>
                <c:pt idx="43">
                  <c:v>1928.0</c:v>
                </c:pt>
                <c:pt idx="44">
                  <c:v>1929.0</c:v>
                </c:pt>
                <c:pt idx="45">
                  <c:v>1930.0</c:v>
                </c:pt>
                <c:pt idx="46">
                  <c:v>1931.0</c:v>
                </c:pt>
                <c:pt idx="47">
                  <c:v>1932.0</c:v>
                </c:pt>
                <c:pt idx="48">
                  <c:v>1933.0</c:v>
                </c:pt>
                <c:pt idx="49">
                  <c:v>1934.0</c:v>
                </c:pt>
                <c:pt idx="50">
                  <c:v>1935.0</c:v>
                </c:pt>
              </c:numCache>
            </c:numRef>
          </c:xVal>
          <c:yVal>
            <c:numRef>
              <c:f>'Tb2 right'!$C$2:$C$52</c:f>
              <c:numCache>
                <c:formatCode>General</c:formatCode>
                <c:ptCount val="51"/>
                <c:pt idx="0">
                  <c:v>8.684210526315786</c:v>
                </c:pt>
                <c:pt idx="1">
                  <c:v>10.26315789473684</c:v>
                </c:pt>
                <c:pt idx="2">
                  <c:v>11.31578947368421</c:v>
                </c:pt>
                <c:pt idx="3">
                  <c:v>12.89473684210526</c:v>
                </c:pt>
                <c:pt idx="4">
                  <c:v>13.94736842105263</c:v>
                </c:pt>
                <c:pt idx="5">
                  <c:v>15.0</c:v>
                </c:pt>
                <c:pt idx="6">
                  <c:v>16.05263157894736</c:v>
                </c:pt>
                <c:pt idx="7">
                  <c:v>18.15789473684211</c:v>
                </c:pt>
                <c:pt idx="8">
                  <c:v>19.21052631578947</c:v>
                </c:pt>
                <c:pt idx="9">
                  <c:v>20.78947368421053</c:v>
                </c:pt>
                <c:pt idx="10">
                  <c:v>22.89473684210525</c:v>
                </c:pt>
                <c:pt idx="11">
                  <c:v>23.94736842105263</c:v>
                </c:pt>
                <c:pt idx="12">
                  <c:v>26.05263157894736</c:v>
                </c:pt>
                <c:pt idx="13">
                  <c:v>27.10526315789474</c:v>
                </c:pt>
                <c:pt idx="14">
                  <c:v>28.68421052631579</c:v>
                </c:pt>
                <c:pt idx="15">
                  <c:v>30.26315789473684</c:v>
                </c:pt>
                <c:pt idx="16">
                  <c:v>31.84210526315789</c:v>
                </c:pt>
                <c:pt idx="23">
                  <c:v>39.73684210526315</c:v>
                </c:pt>
                <c:pt idx="24">
                  <c:v>40.78947368421052</c:v>
                </c:pt>
                <c:pt idx="43">
                  <c:v>48.68421052631579</c:v>
                </c:pt>
                <c:pt idx="44">
                  <c:v>49.73684210526315</c:v>
                </c:pt>
                <c:pt idx="45">
                  <c:v>50.78947368421052</c:v>
                </c:pt>
                <c:pt idx="47">
                  <c:v>52.89473684210526</c:v>
                </c:pt>
                <c:pt idx="48">
                  <c:v>53.42105263157895</c:v>
                </c:pt>
                <c:pt idx="49">
                  <c:v>55.0</c:v>
                </c:pt>
              </c:numCache>
            </c:numRef>
          </c:yVal>
        </c:ser>
        <c:ser>
          <c:idx val="1"/>
          <c:order val="1"/>
          <c:tx>
            <c:v>unconformity (right)</c:v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  <a:ln>
                <a:solidFill>
                  <a:srgbClr val="000000"/>
                </a:solidFill>
              </a:ln>
            </c:spPr>
          </c:marker>
          <c:xVal>
            <c:numRef>
              <c:f>'Tb2 right'!$A$2:$A$52</c:f>
              <c:numCache>
                <c:formatCode>General</c:formatCode>
                <c:ptCount val="51"/>
                <c:pt idx="0">
                  <c:v>1885.0</c:v>
                </c:pt>
                <c:pt idx="1">
                  <c:v>1886.0</c:v>
                </c:pt>
                <c:pt idx="2">
                  <c:v>1887.0</c:v>
                </c:pt>
                <c:pt idx="3">
                  <c:v>1888.0</c:v>
                </c:pt>
                <c:pt idx="4">
                  <c:v>1889.0</c:v>
                </c:pt>
                <c:pt idx="5">
                  <c:v>1890.0</c:v>
                </c:pt>
                <c:pt idx="6">
                  <c:v>1891.0</c:v>
                </c:pt>
                <c:pt idx="7">
                  <c:v>1892.0</c:v>
                </c:pt>
                <c:pt idx="8">
                  <c:v>1893.0</c:v>
                </c:pt>
                <c:pt idx="9">
                  <c:v>1894.0</c:v>
                </c:pt>
                <c:pt idx="10">
                  <c:v>1895.0</c:v>
                </c:pt>
                <c:pt idx="11">
                  <c:v>1896.0</c:v>
                </c:pt>
                <c:pt idx="12">
                  <c:v>1897.0</c:v>
                </c:pt>
                <c:pt idx="13">
                  <c:v>1898.0</c:v>
                </c:pt>
                <c:pt idx="14">
                  <c:v>1899.0</c:v>
                </c:pt>
                <c:pt idx="15">
                  <c:v>1900.0</c:v>
                </c:pt>
                <c:pt idx="16">
                  <c:v>1901.0</c:v>
                </c:pt>
                <c:pt idx="17">
                  <c:v>1902.0</c:v>
                </c:pt>
                <c:pt idx="18">
                  <c:v>1903.0</c:v>
                </c:pt>
                <c:pt idx="19">
                  <c:v>1904.0</c:v>
                </c:pt>
                <c:pt idx="20">
                  <c:v>1905.0</c:v>
                </c:pt>
                <c:pt idx="21">
                  <c:v>1906.0</c:v>
                </c:pt>
                <c:pt idx="22">
                  <c:v>1907.0</c:v>
                </c:pt>
                <c:pt idx="23">
                  <c:v>1908.0</c:v>
                </c:pt>
                <c:pt idx="24">
                  <c:v>1909.0</c:v>
                </c:pt>
                <c:pt idx="25">
                  <c:v>1910.0</c:v>
                </c:pt>
                <c:pt idx="26">
                  <c:v>1911.0</c:v>
                </c:pt>
                <c:pt idx="27">
                  <c:v>1912.0</c:v>
                </c:pt>
                <c:pt idx="28">
                  <c:v>1913.0</c:v>
                </c:pt>
                <c:pt idx="29">
                  <c:v>1914.0</c:v>
                </c:pt>
                <c:pt idx="30">
                  <c:v>1915.0</c:v>
                </c:pt>
                <c:pt idx="31">
                  <c:v>1916.0</c:v>
                </c:pt>
                <c:pt idx="32">
                  <c:v>1917.0</c:v>
                </c:pt>
                <c:pt idx="33">
                  <c:v>1918.0</c:v>
                </c:pt>
                <c:pt idx="34">
                  <c:v>1919.0</c:v>
                </c:pt>
                <c:pt idx="35">
                  <c:v>1920.0</c:v>
                </c:pt>
                <c:pt idx="36">
                  <c:v>1921.0</c:v>
                </c:pt>
                <c:pt idx="37">
                  <c:v>1922.0</c:v>
                </c:pt>
                <c:pt idx="38">
                  <c:v>1923.0</c:v>
                </c:pt>
                <c:pt idx="39">
                  <c:v>1924.0</c:v>
                </c:pt>
                <c:pt idx="40">
                  <c:v>1925.0</c:v>
                </c:pt>
                <c:pt idx="41">
                  <c:v>1926.0</c:v>
                </c:pt>
                <c:pt idx="42">
                  <c:v>1927.0</c:v>
                </c:pt>
                <c:pt idx="43">
                  <c:v>1928.0</c:v>
                </c:pt>
                <c:pt idx="44">
                  <c:v>1929.0</c:v>
                </c:pt>
                <c:pt idx="45">
                  <c:v>1930.0</c:v>
                </c:pt>
                <c:pt idx="46">
                  <c:v>1931.0</c:v>
                </c:pt>
                <c:pt idx="47">
                  <c:v>1932.0</c:v>
                </c:pt>
                <c:pt idx="48">
                  <c:v>1933.0</c:v>
                </c:pt>
                <c:pt idx="49">
                  <c:v>1934.0</c:v>
                </c:pt>
                <c:pt idx="50">
                  <c:v>1935.0</c:v>
                </c:pt>
              </c:numCache>
            </c:numRef>
          </c:xVal>
          <c:yVal>
            <c:numRef>
              <c:f>'Tb2 right'!$D$2:$D$52</c:f>
              <c:numCache>
                <c:formatCode>General</c:formatCode>
                <c:ptCount val="51"/>
                <c:pt idx="22">
                  <c:v>38.68421052631579</c:v>
                </c:pt>
                <c:pt idx="42">
                  <c:v>48.15789473684209</c:v>
                </c:pt>
                <c:pt idx="46">
                  <c:v>52.36842105263157</c:v>
                </c:pt>
              </c:numCache>
            </c:numRef>
          </c:yVal>
        </c:ser>
        <c:ser>
          <c:idx val="2"/>
          <c:order val="2"/>
          <c:tx>
            <c:v>eroded (right)</c:v>
          </c:tx>
          <c:spPr>
            <a:ln w="28575">
              <a:noFill/>
            </a:ln>
          </c:spPr>
          <c:marker>
            <c:symbol val="square"/>
            <c:size val="3"/>
            <c:spPr>
              <a:solidFill>
                <a:srgbClr val="FF0000"/>
              </a:solidFill>
              <a:ln>
                <a:solidFill>
                  <a:srgbClr val="000000"/>
                </a:solidFill>
              </a:ln>
            </c:spPr>
          </c:marker>
          <c:xVal>
            <c:numRef>
              <c:f>'Tb2 right'!$A$2:$A$52</c:f>
              <c:numCache>
                <c:formatCode>General</c:formatCode>
                <c:ptCount val="51"/>
                <c:pt idx="0">
                  <c:v>1885.0</c:v>
                </c:pt>
                <c:pt idx="1">
                  <c:v>1886.0</c:v>
                </c:pt>
                <c:pt idx="2">
                  <c:v>1887.0</c:v>
                </c:pt>
                <c:pt idx="3">
                  <c:v>1888.0</c:v>
                </c:pt>
                <c:pt idx="4">
                  <c:v>1889.0</c:v>
                </c:pt>
                <c:pt idx="5">
                  <c:v>1890.0</c:v>
                </c:pt>
                <c:pt idx="6">
                  <c:v>1891.0</c:v>
                </c:pt>
                <c:pt idx="7">
                  <c:v>1892.0</c:v>
                </c:pt>
                <c:pt idx="8">
                  <c:v>1893.0</c:v>
                </c:pt>
                <c:pt idx="9">
                  <c:v>1894.0</c:v>
                </c:pt>
                <c:pt idx="10">
                  <c:v>1895.0</c:v>
                </c:pt>
                <c:pt idx="11">
                  <c:v>1896.0</c:v>
                </c:pt>
                <c:pt idx="12">
                  <c:v>1897.0</c:v>
                </c:pt>
                <c:pt idx="13">
                  <c:v>1898.0</c:v>
                </c:pt>
                <c:pt idx="14">
                  <c:v>1899.0</c:v>
                </c:pt>
                <c:pt idx="15">
                  <c:v>1900.0</c:v>
                </c:pt>
                <c:pt idx="16">
                  <c:v>1901.0</c:v>
                </c:pt>
                <c:pt idx="17">
                  <c:v>1902.0</c:v>
                </c:pt>
                <c:pt idx="18">
                  <c:v>1903.0</c:v>
                </c:pt>
                <c:pt idx="19">
                  <c:v>1904.0</c:v>
                </c:pt>
                <c:pt idx="20">
                  <c:v>1905.0</c:v>
                </c:pt>
                <c:pt idx="21">
                  <c:v>1906.0</c:v>
                </c:pt>
                <c:pt idx="22">
                  <c:v>1907.0</c:v>
                </c:pt>
                <c:pt idx="23">
                  <c:v>1908.0</c:v>
                </c:pt>
                <c:pt idx="24">
                  <c:v>1909.0</c:v>
                </c:pt>
                <c:pt idx="25">
                  <c:v>1910.0</c:v>
                </c:pt>
                <c:pt idx="26">
                  <c:v>1911.0</c:v>
                </c:pt>
                <c:pt idx="27">
                  <c:v>1912.0</c:v>
                </c:pt>
                <c:pt idx="28">
                  <c:v>1913.0</c:v>
                </c:pt>
                <c:pt idx="29">
                  <c:v>1914.0</c:v>
                </c:pt>
                <c:pt idx="30">
                  <c:v>1915.0</c:v>
                </c:pt>
                <c:pt idx="31">
                  <c:v>1916.0</c:v>
                </c:pt>
                <c:pt idx="32">
                  <c:v>1917.0</c:v>
                </c:pt>
                <c:pt idx="33">
                  <c:v>1918.0</c:v>
                </c:pt>
                <c:pt idx="34">
                  <c:v>1919.0</c:v>
                </c:pt>
                <c:pt idx="35">
                  <c:v>1920.0</c:v>
                </c:pt>
                <c:pt idx="36">
                  <c:v>1921.0</c:v>
                </c:pt>
                <c:pt idx="37">
                  <c:v>1922.0</c:v>
                </c:pt>
                <c:pt idx="38">
                  <c:v>1923.0</c:v>
                </c:pt>
                <c:pt idx="39">
                  <c:v>1924.0</c:v>
                </c:pt>
                <c:pt idx="40">
                  <c:v>1925.0</c:v>
                </c:pt>
                <c:pt idx="41">
                  <c:v>1926.0</c:v>
                </c:pt>
                <c:pt idx="42">
                  <c:v>1927.0</c:v>
                </c:pt>
                <c:pt idx="43">
                  <c:v>1928.0</c:v>
                </c:pt>
                <c:pt idx="44">
                  <c:v>1929.0</c:v>
                </c:pt>
                <c:pt idx="45">
                  <c:v>1930.0</c:v>
                </c:pt>
                <c:pt idx="46">
                  <c:v>1931.0</c:v>
                </c:pt>
                <c:pt idx="47">
                  <c:v>1932.0</c:v>
                </c:pt>
                <c:pt idx="48">
                  <c:v>1933.0</c:v>
                </c:pt>
                <c:pt idx="49">
                  <c:v>1934.0</c:v>
                </c:pt>
                <c:pt idx="50">
                  <c:v>1935.0</c:v>
                </c:pt>
              </c:numCache>
            </c:numRef>
          </c:xVal>
          <c:yVal>
            <c:numRef>
              <c:f>'Tb2 right'!$E$2:$E$52</c:f>
              <c:numCache>
                <c:formatCode>General</c:formatCode>
                <c:ptCount val="51"/>
                <c:pt idx="17">
                  <c:v>33.42105263157895</c:v>
                </c:pt>
                <c:pt idx="18">
                  <c:v>35.5263157894737</c:v>
                </c:pt>
                <c:pt idx="19">
                  <c:v>36.05263157894736</c:v>
                </c:pt>
                <c:pt idx="20">
                  <c:v>37.10526315789474</c:v>
                </c:pt>
                <c:pt idx="21">
                  <c:v>38.1578947368421</c:v>
                </c:pt>
                <c:pt idx="25">
                  <c:v>41.8421052631579</c:v>
                </c:pt>
                <c:pt idx="26">
                  <c:v>42.36842105263157</c:v>
                </c:pt>
                <c:pt idx="27">
                  <c:v>42.89473684210526</c:v>
                </c:pt>
                <c:pt idx="28">
                  <c:v>43.94736842105262</c:v>
                </c:pt>
                <c:pt idx="29">
                  <c:v>45.5263157894737</c:v>
                </c:pt>
                <c:pt idx="30">
                  <c:v>46.57894736842106</c:v>
                </c:pt>
                <c:pt idx="31">
                  <c:v>47.10526315789474</c:v>
                </c:pt>
                <c:pt idx="32">
                  <c:v>43.94736842105262</c:v>
                </c:pt>
                <c:pt idx="33">
                  <c:v>44.47368421052631</c:v>
                </c:pt>
                <c:pt idx="34">
                  <c:v>45.0</c:v>
                </c:pt>
                <c:pt idx="35">
                  <c:v>45.5263157894737</c:v>
                </c:pt>
                <c:pt idx="36">
                  <c:v>46.57894736842106</c:v>
                </c:pt>
                <c:pt idx="37">
                  <c:v>47.10526315789474</c:v>
                </c:pt>
                <c:pt idx="38">
                  <c:v>47.10526315789474</c:v>
                </c:pt>
                <c:pt idx="39">
                  <c:v>47.10526315789474</c:v>
                </c:pt>
                <c:pt idx="40">
                  <c:v>47.63157894736842</c:v>
                </c:pt>
                <c:pt idx="41">
                  <c:v>47.63157894736842</c:v>
                </c:pt>
                <c:pt idx="50">
                  <c:v>55.5263157894737</c:v>
                </c:pt>
              </c:numCache>
            </c:numRef>
          </c:yVal>
        </c:ser>
        <c:ser>
          <c:idx val="3"/>
          <c:order val="3"/>
          <c:tx>
            <c:v>minimum (left)</c:v>
          </c:tx>
          <c:spPr>
            <a:ln w="28575">
              <a:noFill/>
            </a:ln>
          </c:spPr>
          <c:marker>
            <c:symbol val="triangle"/>
            <c:size val="3"/>
            <c:spPr>
              <a:solidFill>
                <a:srgbClr val="0070C0"/>
              </a:solidFill>
              <a:ln>
                <a:solidFill>
                  <a:srgbClr val="000000"/>
                </a:solidFill>
              </a:ln>
            </c:spPr>
          </c:marker>
          <c:xVal>
            <c:numRef>
              <c:f>'Tb2 left'!$A$2:$A$34</c:f>
              <c:numCache>
                <c:formatCode>General</c:formatCode>
                <c:ptCount val="33"/>
                <c:pt idx="0">
                  <c:v>1903.0</c:v>
                </c:pt>
                <c:pt idx="1">
                  <c:v>1904.0</c:v>
                </c:pt>
                <c:pt idx="2">
                  <c:v>1905.0</c:v>
                </c:pt>
                <c:pt idx="3">
                  <c:v>1906.0</c:v>
                </c:pt>
                <c:pt idx="4">
                  <c:v>1907.0</c:v>
                </c:pt>
                <c:pt idx="5">
                  <c:v>1908.0</c:v>
                </c:pt>
                <c:pt idx="6">
                  <c:v>1909.0</c:v>
                </c:pt>
                <c:pt idx="7">
                  <c:v>1910.0</c:v>
                </c:pt>
                <c:pt idx="8">
                  <c:v>1911.0</c:v>
                </c:pt>
                <c:pt idx="9">
                  <c:v>1912.0</c:v>
                </c:pt>
                <c:pt idx="10">
                  <c:v>1913.0</c:v>
                </c:pt>
                <c:pt idx="11">
                  <c:v>1914.0</c:v>
                </c:pt>
                <c:pt idx="12">
                  <c:v>1915.0</c:v>
                </c:pt>
                <c:pt idx="13">
                  <c:v>1916.0</c:v>
                </c:pt>
                <c:pt idx="14">
                  <c:v>1917.0</c:v>
                </c:pt>
                <c:pt idx="15">
                  <c:v>1918.0</c:v>
                </c:pt>
                <c:pt idx="16">
                  <c:v>1919.0</c:v>
                </c:pt>
                <c:pt idx="17">
                  <c:v>1920.0</c:v>
                </c:pt>
                <c:pt idx="18">
                  <c:v>1921.0</c:v>
                </c:pt>
                <c:pt idx="19">
                  <c:v>1922.0</c:v>
                </c:pt>
                <c:pt idx="20">
                  <c:v>1923.0</c:v>
                </c:pt>
                <c:pt idx="21">
                  <c:v>1924.0</c:v>
                </c:pt>
                <c:pt idx="22">
                  <c:v>1925.0</c:v>
                </c:pt>
                <c:pt idx="23">
                  <c:v>1926.0</c:v>
                </c:pt>
                <c:pt idx="24">
                  <c:v>1927.0</c:v>
                </c:pt>
                <c:pt idx="25">
                  <c:v>1928.0</c:v>
                </c:pt>
                <c:pt idx="26">
                  <c:v>1929.0</c:v>
                </c:pt>
                <c:pt idx="27">
                  <c:v>1930.0</c:v>
                </c:pt>
                <c:pt idx="28">
                  <c:v>1931.0</c:v>
                </c:pt>
                <c:pt idx="29">
                  <c:v>1932.0</c:v>
                </c:pt>
                <c:pt idx="30">
                  <c:v>1933.0</c:v>
                </c:pt>
                <c:pt idx="31">
                  <c:v>1934.0</c:v>
                </c:pt>
                <c:pt idx="32">
                  <c:v>1935.0</c:v>
                </c:pt>
              </c:numCache>
            </c:numRef>
          </c:xVal>
          <c:yVal>
            <c:numRef>
              <c:f>'Tb2 left'!$C$2:$C$34</c:f>
              <c:numCache>
                <c:formatCode>General</c:formatCode>
                <c:ptCount val="33"/>
                <c:pt idx="5">
                  <c:v>37.10526315789474</c:v>
                </c:pt>
                <c:pt idx="6">
                  <c:v>38.68421052631579</c:v>
                </c:pt>
                <c:pt idx="7">
                  <c:v>40.26315789473684</c:v>
                </c:pt>
                <c:pt idx="8">
                  <c:v>41.8421052631579</c:v>
                </c:pt>
                <c:pt idx="9">
                  <c:v>42.36842105263157</c:v>
                </c:pt>
                <c:pt idx="10">
                  <c:v>43.42105263157895</c:v>
                </c:pt>
                <c:pt idx="11">
                  <c:v>43.94736842105262</c:v>
                </c:pt>
                <c:pt idx="25">
                  <c:v>48.68421052631579</c:v>
                </c:pt>
                <c:pt idx="26">
                  <c:v>50.26315789473684</c:v>
                </c:pt>
                <c:pt idx="27">
                  <c:v>50.78947368421052</c:v>
                </c:pt>
                <c:pt idx="29">
                  <c:v>51.8421052631579</c:v>
                </c:pt>
                <c:pt idx="30">
                  <c:v>52.89473684210526</c:v>
                </c:pt>
                <c:pt idx="31">
                  <c:v>53.94736842105262</c:v>
                </c:pt>
              </c:numCache>
            </c:numRef>
          </c:yVal>
        </c:ser>
        <c:ser>
          <c:idx val="4"/>
          <c:order val="4"/>
          <c:tx>
            <c:v>unconformity (left)</c:v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0070C0"/>
              </a:solidFill>
              <a:ln>
                <a:solidFill>
                  <a:srgbClr val="000000"/>
                </a:solidFill>
              </a:ln>
            </c:spPr>
          </c:marker>
          <c:xVal>
            <c:numRef>
              <c:f>'Tb2 left'!$A$2:$A$34</c:f>
              <c:numCache>
                <c:formatCode>General</c:formatCode>
                <c:ptCount val="33"/>
                <c:pt idx="0">
                  <c:v>1903.0</c:v>
                </c:pt>
                <c:pt idx="1">
                  <c:v>1904.0</c:v>
                </c:pt>
                <c:pt idx="2">
                  <c:v>1905.0</c:v>
                </c:pt>
                <c:pt idx="3">
                  <c:v>1906.0</c:v>
                </c:pt>
                <c:pt idx="4">
                  <c:v>1907.0</c:v>
                </c:pt>
                <c:pt idx="5">
                  <c:v>1908.0</c:v>
                </c:pt>
                <c:pt idx="6">
                  <c:v>1909.0</c:v>
                </c:pt>
                <c:pt idx="7">
                  <c:v>1910.0</c:v>
                </c:pt>
                <c:pt idx="8">
                  <c:v>1911.0</c:v>
                </c:pt>
                <c:pt idx="9">
                  <c:v>1912.0</c:v>
                </c:pt>
                <c:pt idx="10">
                  <c:v>1913.0</c:v>
                </c:pt>
                <c:pt idx="11">
                  <c:v>1914.0</c:v>
                </c:pt>
                <c:pt idx="12">
                  <c:v>1915.0</c:v>
                </c:pt>
                <c:pt idx="13">
                  <c:v>1916.0</c:v>
                </c:pt>
                <c:pt idx="14">
                  <c:v>1917.0</c:v>
                </c:pt>
                <c:pt idx="15">
                  <c:v>1918.0</c:v>
                </c:pt>
                <c:pt idx="16">
                  <c:v>1919.0</c:v>
                </c:pt>
                <c:pt idx="17">
                  <c:v>1920.0</c:v>
                </c:pt>
                <c:pt idx="18">
                  <c:v>1921.0</c:v>
                </c:pt>
                <c:pt idx="19">
                  <c:v>1922.0</c:v>
                </c:pt>
                <c:pt idx="20">
                  <c:v>1923.0</c:v>
                </c:pt>
                <c:pt idx="21">
                  <c:v>1924.0</c:v>
                </c:pt>
                <c:pt idx="22">
                  <c:v>1925.0</c:v>
                </c:pt>
                <c:pt idx="23">
                  <c:v>1926.0</c:v>
                </c:pt>
                <c:pt idx="24">
                  <c:v>1927.0</c:v>
                </c:pt>
                <c:pt idx="25">
                  <c:v>1928.0</c:v>
                </c:pt>
                <c:pt idx="26">
                  <c:v>1929.0</c:v>
                </c:pt>
                <c:pt idx="27">
                  <c:v>1930.0</c:v>
                </c:pt>
                <c:pt idx="28">
                  <c:v>1931.0</c:v>
                </c:pt>
                <c:pt idx="29">
                  <c:v>1932.0</c:v>
                </c:pt>
                <c:pt idx="30">
                  <c:v>1933.0</c:v>
                </c:pt>
                <c:pt idx="31">
                  <c:v>1934.0</c:v>
                </c:pt>
                <c:pt idx="32">
                  <c:v>1935.0</c:v>
                </c:pt>
              </c:numCache>
            </c:numRef>
          </c:xVal>
          <c:yVal>
            <c:numRef>
              <c:f>'Tb2 left'!$D$2:$D$34</c:f>
              <c:numCache>
                <c:formatCode>General</c:formatCode>
                <c:ptCount val="33"/>
                <c:pt idx="4">
                  <c:v>36.57894736842106</c:v>
                </c:pt>
                <c:pt idx="24">
                  <c:v>48.15789473684209</c:v>
                </c:pt>
                <c:pt idx="28">
                  <c:v>50.78947368421052</c:v>
                </c:pt>
              </c:numCache>
            </c:numRef>
          </c:yVal>
        </c:ser>
        <c:ser>
          <c:idx val="5"/>
          <c:order val="5"/>
          <c:tx>
            <c:v>eroded (left)</c:v>
          </c:tx>
          <c:spPr>
            <a:ln w="28575">
              <a:noFill/>
            </a:ln>
          </c:spPr>
          <c:marker>
            <c:symbol val="square"/>
            <c:size val="3"/>
            <c:spPr>
              <a:solidFill>
                <a:srgbClr val="0070C0"/>
              </a:solidFill>
              <a:ln>
                <a:solidFill>
                  <a:srgbClr val="000000"/>
                </a:solidFill>
              </a:ln>
            </c:spPr>
          </c:marker>
          <c:xVal>
            <c:numRef>
              <c:f>'Tb2 left'!$A$2:$A$34</c:f>
              <c:numCache>
                <c:formatCode>General</c:formatCode>
                <c:ptCount val="33"/>
                <c:pt idx="0">
                  <c:v>1903.0</c:v>
                </c:pt>
                <c:pt idx="1">
                  <c:v>1904.0</c:v>
                </c:pt>
                <c:pt idx="2">
                  <c:v>1905.0</c:v>
                </c:pt>
                <c:pt idx="3">
                  <c:v>1906.0</c:v>
                </c:pt>
                <c:pt idx="4">
                  <c:v>1907.0</c:v>
                </c:pt>
                <c:pt idx="5">
                  <c:v>1908.0</c:v>
                </c:pt>
                <c:pt idx="6">
                  <c:v>1909.0</c:v>
                </c:pt>
                <c:pt idx="7">
                  <c:v>1910.0</c:v>
                </c:pt>
                <c:pt idx="8">
                  <c:v>1911.0</c:v>
                </c:pt>
                <c:pt idx="9">
                  <c:v>1912.0</c:v>
                </c:pt>
                <c:pt idx="10">
                  <c:v>1913.0</c:v>
                </c:pt>
                <c:pt idx="11">
                  <c:v>1914.0</c:v>
                </c:pt>
                <c:pt idx="12">
                  <c:v>1915.0</c:v>
                </c:pt>
                <c:pt idx="13">
                  <c:v>1916.0</c:v>
                </c:pt>
                <c:pt idx="14">
                  <c:v>1917.0</c:v>
                </c:pt>
                <c:pt idx="15">
                  <c:v>1918.0</c:v>
                </c:pt>
                <c:pt idx="16">
                  <c:v>1919.0</c:v>
                </c:pt>
                <c:pt idx="17">
                  <c:v>1920.0</c:v>
                </c:pt>
                <c:pt idx="18">
                  <c:v>1921.0</c:v>
                </c:pt>
                <c:pt idx="19">
                  <c:v>1922.0</c:v>
                </c:pt>
                <c:pt idx="20">
                  <c:v>1923.0</c:v>
                </c:pt>
                <c:pt idx="21">
                  <c:v>1924.0</c:v>
                </c:pt>
                <c:pt idx="22">
                  <c:v>1925.0</c:v>
                </c:pt>
                <c:pt idx="23">
                  <c:v>1926.0</c:v>
                </c:pt>
                <c:pt idx="24">
                  <c:v>1927.0</c:v>
                </c:pt>
                <c:pt idx="25">
                  <c:v>1928.0</c:v>
                </c:pt>
                <c:pt idx="26">
                  <c:v>1929.0</c:v>
                </c:pt>
                <c:pt idx="27">
                  <c:v>1930.0</c:v>
                </c:pt>
                <c:pt idx="28">
                  <c:v>1931.0</c:v>
                </c:pt>
                <c:pt idx="29">
                  <c:v>1932.0</c:v>
                </c:pt>
                <c:pt idx="30">
                  <c:v>1933.0</c:v>
                </c:pt>
                <c:pt idx="31">
                  <c:v>1934.0</c:v>
                </c:pt>
                <c:pt idx="32">
                  <c:v>1935.0</c:v>
                </c:pt>
              </c:numCache>
            </c:numRef>
          </c:xVal>
          <c:yVal>
            <c:numRef>
              <c:f>'Tb2 left'!$E$2:$E$34</c:f>
              <c:numCache>
                <c:formatCode>General</c:formatCode>
                <c:ptCount val="33"/>
                <c:pt idx="0">
                  <c:v>33.42105263157895</c:v>
                </c:pt>
                <c:pt idx="1">
                  <c:v>33.94736842105262</c:v>
                </c:pt>
                <c:pt idx="2">
                  <c:v>35.0</c:v>
                </c:pt>
                <c:pt idx="3">
                  <c:v>35.5263157894737</c:v>
                </c:pt>
                <c:pt idx="12">
                  <c:v>43.42105263157895</c:v>
                </c:pt>
                <c:pt idx="13">
                  <c:v>42.36842105263157</c:v>
                </c:pt>
                <c:pt idx="14">
                  <c:v>41.8421052631579</c:v>
                </c:pt>
                <c:pt idx="15">
                  <c:v>41.8421052631579</c:v>
                </c:pt>
                <c:pt idx="16">
                  <c:v>41.8421052631579</c:v>
                </c:pt>
                <c:pt idx="17">
                  <c:v>42.36842105263157</c:v>
                </c:pt>
                <c:pt idx="18">
                  <c:v>42.89473684210526</c:v>
                </c:pt>
                <c:pt idx="19">
                  <c:v>43.42105263157895</c:v>
                </c:pt>
                <c:pt idx="20">
                  <c:v>44.47368421052631</c:v>
                </c:pt>
                <c:pt idx="21">
                  <c:v>45.5263157894737</c:v>
                </c:pt>
                <c:pt idx="22">
                  <c:v>47.10526315789474</c:v>
                </c:pt>
                <c:pt idx="23">
                  <c:v>47.63157894736842</c:v>
                </c:pt>
                <c:pt idx="32">
                  <c:v>55.0</c:v>
                </c:pt>
              </c:numCache>
            </c:numRef>
          </c:yVal>
        </c:ser>
        <c:dLbls/>
        <c:axId val="588316232"/>
        <c:axId val="588319304"/>
      </c:scatterChart>
      <c:valAx>
        <c:axId val="588316232"/>
        <c:scaling>
          <c:orientation val="minMax"/>
          <c:max val="1935.0"/>
          <c:min val="1890.0"/>
        </c:scaling>
        <c:axPos val="b"/>
        <c:numFmt formatCode="General" sourceLinked="1"/>
        <c:tickLblPos val="nextTo"/>
        <c:crossAx val="588319304"/>
        <c:crosses val="autoZero"/>
        <c:crossBetween val="midCat"/>
        <c:majorUnit val="5.0"/>
      </c:valAx>
      <c:valAx>
        <c:axId val="588319304"/>
        <c:scaling>
          <c:orientation val="minMax"/>
          <c:max val="55.0"/>
          <c:min val="15.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elevation of HLS (cm)</a:t>
                </a:r>
              </a:p>
            </c:rich>
          </c:tx>
          <c:layout/>
        </c:title>
        <c:numFmt formatCode="General" sourceLinked="1"/>
        <c:tickLblPos val="nextTo"/>
        <c:crossAx val="588316232"/>
        <c:crosses val="autoZero"/>
        <c:crossBetween val="midCat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492</Words>
  <Characters>2810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 Philibosian</dc:creator>
  <cp:lastModifiedBy>Elisabeth Nadin</cp:lastModifiedBy>
  <cp:revision>11</cp:revision>
  <dcterms:created xsi:type="dcterms:W3CDTF">2011-03-24T19:27:00Z</dcterms:created>
  <dcterms:modified xsi:type="dcterms:W3CDTF">2011-03-26T02:19:00Z</dcterms:modified>
</cp:coreProperties>
</file>