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CA" w:rsidRDefault="00381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 Level Change and Historical Earthquakes of Sumatra from Coral Growth Rings—Advanced Version</w:t>
      </w:r>
    </w:p>
    <w:p w:rsidR="0038131F" w:rsidRDefault="00381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Set</w:t>
      </w:r>
    </w:p>
    <w:p w:rsidR="0038131F" w:rsidRDefault="00381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</w:t>
      </w:r>
    </w:p>
    <w:p w:rsidR="00D83E5C" w:rsidRPr="00D83E5C" w:rsidRDefault="0038131F" w:rsidP="00D83E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</w:rPr>
      </w:pPr>
      <w:r w:rsidRPr="00D83E5C">
        <w:rPr>
          <w:rFonts w:ascii="Times New Roman" w:hAnsi="Times New Roman" w:cs="Times New Roman"/>
          <w:sz w:val="24"/>
          <w:szCs w:val="24"/>
        </w:rPr>
        <w:t xml:space="preserve">Hemispherical corals grow radially outward, 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building 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annual 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calcium carbonate 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bands similar to tree rings.  </w:t>
      </w:r>
      <w:r w:rsidR="00652087">
        <w:rPr>
          <w:rFonts w:ascii="Times New Roman" w:hAnsi="Times New Roman" w:cs="Times New Roman"/>
          <w:sz w:val="24"/>
          <w:szCs w:val="24"/>
        </w:rPr>
        <w:t xml:space="preserve">(Side note: 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The coral </w:t>
      </w:r>
      <w:r w:rsidR="00997FFE" w:rsidRPr="00D83E5C">
        <w:rPr>
          <w:rFonts w:ascii="Times New Roman" w:hAnsi="Times New Roman" w:cs="Times New Roman"/>
          <w:sz w:val="24"/>
          <w:szCs w:val="24"/>
        </w:rPr>
        <w:t>genus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 </w:t>
      </w:r>
      <w:r w:rsidR="004B11BF" w:rsidRPr="00D83E5C">
        <w:rPr>
          <w:rFonts w:ascii="Times New Roman" w:hAnsi="Times New Roman" w:cs="Times New Roman"/>
          <w:i/>
          <w:sz w:val="24"/>
          <w:szCs w:val="24"/>
        </w:rPr>
        <w:t xml:space="preserve">Porites </w:t>
      </w:r>
      <w:r w:rsidR="004B11BF" w:rsidRPr="00D83E5C">
        <w:rPr>
          <w:rFonts w:ascii="Times New Roman" w:hAnsi="Times New Roman" w:cs="Times New Roman"/>
          <w:sz w:val="24"/>
          <w:szCs w:val="24"/>
        </w:rPr>
        <w:t>provide the best sea-level and paleoseismic records.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 However, there are several species of </w:t>
      </w:r>
      <w:r w:rsidR="00997FFE" w:rsidRPr="00D83E5C">
        <w:rPr>
          <w:rFonts w:ascii="Times New Roman" w:hAnsi="Times New Roman" w:cs="Times New Roman"/>
          <w:i/>
          <w:sz w:val="24"/>
          <w:szCs w:val="24"/>
        </w:rPr>
        <w:t>Porites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 that do not grow hemispherically and would not serve as a sea-level record. Also, </w:t>
      </w:r>
      <w:r w:rsidR="00997FFE" w:rsidRPr="00D83E5C">
        <w:rPr>
          <w:rFonts w:ascii="Times New Roman" w:hAnsi="Times New Roman" w:cs="Times New Roman"/>
          <w:i/>
          <w:sz w:val="24"/>
          <w:szCs w:val="24"/>
        </w:rPr>
        <w:t>Porites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 can grow in places that don’t have earthquakes; there they can still serve as sea-level markers.</w:t>
      </w:r>
      <w:r w:rsidR="00652087">
        <w:rPr>
          <w:rFonts w:ascii="Times New Roman" w:hAnsi="Times New Roman" w:cs="Times New Roman"/>
          <w:sz w:val="24"/>
          <w:szCs w:val="24"/>
        </w:rPr>
        <w:t>)</w:t>
      </w:r>
    </w:p>
    <w:p w:rsidR="004B11BF" w:rsidRDefault="004B11BF" w:rsidP="004B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II</w:t>
      </w:r>
    </w:p>
    <w:p w:rsidR="004B11BF" w:rsidRPr="00FF701E" w:rsidRDefault="004B11BF" w:rsidP="00FF70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FF701E" w:rsidRDefault="00FF701E" w:rsidP="00FF701E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E53319">
        <w:rPr>
          <w:rFonts w:ascii="Times New Roman" w:hAnsi="Times New Roman" w:cs="Times New Roman"/>
          <w:sz w:val="24"/>
          <w:szCs w:val="24"/>
        </w:rPr>
        <w:t>adial growth rate is 9-11 mm/yr (or ~1 cm/yr).</w:t>
      </w:r>
    </w:p>
    <w:p w:rsidR="00FF701E" w:rsidRDefault="00FF701E" w:rsidP="00FF701E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Coral HLS </w:t>
      </w:r>
      <w:r w:rsidR="001B3C36">
        <w:rPr>
          <w:rFonts w:ascii="Times New Roman" w:hAnsi="Times New Roman" w:cs="Times New Roman"/>
          <w:sz w:val="24"/>
          <w:szCs w:val="24"/>
        </w:rPr>
        <w:t>represents low-</w:t>
      </w:r>
      <w:r>
        <w:rPr>
          <w:rFonts w:ascii="Times New Roman" w:hAnsi="Times New Roman" w:cs="Times New Roman"/>
          <w:sz w:val="24"/>
          <w:szCs w:val="24"/>
        </w:rPr>
        <w:t>tide level.</w:t>
      </w:r>
    </w:p>
    <w:p w:rsidR="00FF701E" w:rsidRDefault="00FF701E" w:rsidP="00FF701E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</w:p>
    <w:p w:rsidR="00FA4152" w:rsidRDefault="00FA4152" w:rsidP="00FA4152">
      <w:pPr>
        <w:pStyle w:val="ListParagraph"/>
        <w:ind w:left="1080"/>
        <w:rPr>
          <w:noProof/>
        </w:rPr>
      </w:pPr>
      <w:r>
        <w:rPr>
          <w:noProof/>
        </w:rPr>
        <w:drawing>
          <wp:inline distT="0" distB="0" distL="0" distR="0">
            <wp:extent cx="5267325" cy="24574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4152" w:rsidRDefault="00FA4152" w:rsidP="00FA4152">
      <w:pPr>
        <w:pStyle w:val="ListParagraph"/>
        <w:ind w:left="1080"/>
        <w:rPr>
          <w:noProof/>
        </w:rPr>
      </w:pPr>
    </w:p>
    <w:p w:rsidR="002223BD" w:rsidRDefault="00FA4152" w:rsidP="002223BD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2)</w:t>
      </w:r>
    </w:p>
    <w:p w:rsidR="002223BD" w:rsidRDefault="002223BD" w:rsidP="002223BD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="001B3C36">
        <w:rPr>
          <w:rFonts w:ascii="Times New Roman" w:hAnsi="Times New Roman" w:cs="Times New Roman"/>
          <w:noProof/>
          <w:sz w:val="24"/>
          <w:szCs w:val="24"/>
        </w:rPr>
        <w:t>Yes, there are “unconformities” in the coral record, where parts have been eroded.</w:t>
      </w:r>
    </w:p>
    <w:p w:rsidR="004A5880" w:rsidRDefault="002223BD" w:rsidP="004A5880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b. </w:t>
      </w:r>
      <w:r w:rsidR="002314D7" w:rsidRPr="002223BD">
        <w:rPr>
          <w:rFonts w:ascii="Times New Roman" w:hAnsi="Times New Roman" w:cs="Times New Roman"/>
          <w:noProof/>
          <w:sz w:val="24"/>
          <w:szCs w:val="24"/>
        </w:rPr>
        <w:t xml:space="preserve">Coral unconformities </w:t>
      </w:r>
      <w:r w:rsidR="001B3C36" w:rsidRPr="002223BD">
        <w:rPr>
          <w:rFonts w:ascii="Times New Roman" w:hAnsi="Times New Roman" w:cs="Times New Roman"/>
          <w:noProof/>
          <w:sz w:val="24"/>
          <w:szCs w:val="24"/>
        </w:rPr>
        <w:t>form</w:t>
      </w:r>
      <w:r w:rsidR="002314D7" w:rsidRPr="002223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3C36" w:rsidRPr="002223BD">
        <w:rPr>
          <w:rFonts w:ascii="Times New Roman" w:hAnsi="Times New Roman" w:cs="Times New Roman"/>
          <w:noProof/>
          <w:sz w:val="24"/>
          <w:szCs w:val="24"/>
        </w:rPr>
        <w:t xml:space="preserve">when an </w:t>
      </w:r>
      <w:r w:rsidR="002314D7" w:rsidRPr="002223BD">
        <w:rPr>
          <w:rFonts w:ascii="Times New Roman" w:hAnsi="Times New Roman" w:cs="Times New Roman"/>
          <w:noProof/>
          <w:sz w:val="24"/>
          <w:szCs w:val="24"/>
        </w:rPr>
        <w:t>older surface</w:t>
      </w:r>
      <w:r w:rsidR="001B3C36" w:rsidRPr="002223BD">
        <w:rPr>
          <w:rFonts w:ascii="Times New Roman" w:hAnsi="Times New Roman" w:cs="Times New Roman"/>
          <w:noProof/>
          <w:sz w:val="24"/>
          <w:szCs w:val="24"/>
        </w:rPr>
        <w:t xml:space="preserve"> erodes</w:t>
      </w:r>
      <w:r w:rsidR="002314D7" w:rsidRPr="002223BD">
        <w:rPr>
          <w:rFonts w:ascii="Times New Roman" w:hAnsi="Times New Roman" w:cs="Times New Roman"/>
          <w:noProof/>
          <w:sz w:val="24"/>
          <w:szCs w:val="24"/>
        </w:rPr>
        <w:t>.</w:t>
      </w:r>
      <w:r w:rsidR="001B3C36" w:rsidRPr="002223BD">
        <w:rPr>
          <w:rFonts w:ascii="Times New Roman" w:hAnsi="Times New Roman" w:cs="Times New Roman"/>
          <w:noProof/>
          <w:sz w:val="24"/>
          <w:szCs w:val="24"/>
        </w:rPr>
        <w:t xml:space="preserve"> Also, younger bands can curl over and grow inward; their upper parts are no longer parallel to older bands.</w:t>
      </w:r>
    </w:p>
    <w:p w:rsidR="004A5880" w:rsidRDefault="004A5880" w:rsidP="004A5880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c. </w:t>
      </w:r>
      <w:r w:rsidR="002314D7" w:rsidRPr="004A5880">
        <w:rPr>
          <w:rFonts w:ascii="Times New Roman" w:hAnsi="Times New Roman" w:cs="Times New Roman"/>
          <w:noProof/>
          <w:sz w:val="24"/>
          <w:szCs w:val="24"/>
        </w:rPr>
        <w:t>A coral unconformity represents death of part of the coral growth surface and regrowth around it.</w:t>
      </w:r>
    </w:p>
    <w:p w:rsidR="004A5880" w:rsidRDefault="004A5880" w:rsidP="004A5880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e. </w:t>
      </w:r>
      <w:r w:rsidR="002314D7" w:rsidRPr="004A5880">
        <w:rPr>
          <w:rFonts w:ascii="Times New Roman" w:hAnsi="Times New Roman" w:cs="Times New Roman"/>
          <w:noProof/>
          <w:sz w:val="24"/>
          <w:szCs w:val="24"/>
        </w:rPr>
        <w:t>See bold lines in Fig. 2.</w:t>
      </w:r>
    </w:p>
    <w:p w:rsidR="00F31AB9" w:rsidRDefault="004A5880" w:rsidP="004A5880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f. T</w:t>
      </w:r>
      <w:r w:rsidR="002314D7" w:rsidRPr="004A5880">
        <w:rPr>
          <w:rFonts w:ascii="Times New Roman" w:hAnsi="Times New Roman" w:cs="Times New Roman"/>
          <w:noProof/>
          <w:sz w:val="24"/>
          <w:szCs w:val="24"/>
        </w:rPr>
        <w:t>he coral surface is uneven and not parallel to annual banding, indicati</w:t>
      </w:r>
      <w:r w:rsidR="00940290" w:rsidRPr="004A5880">
        <w:rPr>
          <w:rFonts w:ascii="Times New Roman" w:hAnsi="Times New Roman" w:cs="Times New Roman"/>
          <w:noProof/>
          <w:sz w:val="24"/>
          <w:szCs w:val="24"/>
        </w:rPr>
        <w:t>ng erosion, in the years 1962–72</w:t>
      </w:r>
      <w:r w:rsidR="002314D7" w:rsidRPr="004A588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14D7" w:rsidRPr="004A5880" w:rsidRDefault="00F31AB9" w:rsidP="004A5880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g. See Fig 3 (attached)</w:t>
      </w:r>
    </w:p>
    <w:p w:rsidR="00F31AB9" w:rsidRDefault="00F31AB9" w:rsidP="0073682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73682B" w:rsidRDefault="00A57C23" w:rsidP="00736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III</w:t>
      </w:r>
    </w:p>
    <w:p w:rsidR="00A57C23" w:rsidRDefault="00A57C23" w:rsidP="00736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C23" w:rsidRDefault="00A57C23" w:rsidP="00A57C2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A57C23" w:rsidRDefault="00A57C23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Head Bai subme</w:t>
      </w:r>
      <w:r w:rsidR="00781420">
        <w:rPr>
          <w:rFonts w:ascii="Times New Roman" w:hAnsi="Times New Roman" w:cs="Times New Roman"/>
          <w:sz w:val="24"/>
          <w:szCs w:val="24"/>
        </w:rPr>
        <w:t>rged from 1963–1974 and emerged from 1974–1997.</w:t>
      </w:r>
      <w:r>
        <w:rPr>
          <w:rFonts w:ascii="Times New Roman" w:hAnsi="Times New Roman" w:cs="Times New Roman"/>
          <w:sz w:val="24"/>
          <w:szCs w:val="24"/>
        </w:rPr>
        <w:t xml:space="preserve"> During submergence, each HLS unconformity is higher than the previous one; during emergence, each HLS unconformity is lower than the previous one.</w:t>
      </w:r>
      <w:r w:rsidR="00781420">
        <w:rPr>
          <w:rFonts w:ascii="Times New Roman" w:hAnsi="Times New Roman" w:cs="Times New Roman"/>
          <w:sz w:val="24"/>
          <w:szCs w:val="24"/>
        </w:rPr>
        <w:t xml:space="preserve"> Also the graph reflects both events.</w:t>
      </w:r>
    </w:p>
    <w:p w:rsidR="00A57C23" w:rsidRDefault="00A57C23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781420">
        <w:rPr>
          <w:rFonts w:ascii="Times New Roman" w:hAnsi="Times New Roman" w:cs="Times New Roman"/>
          <w:sz w:val="24"/>
          <w:szCs w:val="24"/>
        </w:rPr>
        <w:t xml:space="preserve">Submergence was 0.5 cm/yr from 1964–1974, and emergence was ~0.6 cm/yr. </w:t>
      </w:r>
    </w:p>
    <w:p w:rsidR="009E14F6" w:rsidRDefault="009E14F6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The rate of </w:t>
      </w:r>
      <w:r w:rsidR="00590DD4">
        <w:rPr>
          <w:rFonts w:ascii="Times New Roman" w:hAnsi="Times New Roman" w:cs="Times New Roman"/>
          <w:sz w:val="24"/>
          <w:szCs w:val="24"/>
        </w:rPr>
        <w:t>uplift was ~8</w:t>
      </w:r>
      <w:r w:rsidR="00781420">
        <w:rPr>
          <w:rFonts w:ascii="Times New Roman" w:hAnsi="Times New Roman" w:cs="Times New Roman"/>
          <w:sz w:val="24"/>
          <w:szCs w:val="24"/>
        </w:rPr>
        <w:t xml:space="preserve"> mm/yr (6 mm/yr </w:t>
      </w:r>
      <w:r w:rsidR="00590DD4">
        <w:rPr>
          <w:rFonts w:ascii="Times New Roman" w:hAnsi="Times New Roman" w:cs="Times New Roman"/>
          <w:sz w:val="24"/>
          <w:szCs w:val="24"/>
        </w:rPr>
        <w:t>+ 2</w:t>
      </w:r>
      <w:r w:rsidR="00781420">
        <w:rPr>
          <w:rFonts w:ascii="Times New Roman" w:hAnsi="Times New Roman" w:cs="Times New Roman"/>
          <w:sz w:val="24"/>
          <w:szCs w:val="24"/>
        </w:rPr>
        <w:t xml:space="preserve"> mm/yr)</w:t>
      </w:r>
    </w:p>
    <w:p w:rsidR="009E14F6" w:rsidRDefault="009E14F6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B46008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08">
        <w:rPr>
          <w:rFonts w:ascii="Times New Roman" w:hAnsi="Times New Roman" w:cs="Times New Roman"/>
          <w:sz w:val="24"/>
          <w:szCs w:val="24"/>
        </w:rPr>
        <w:t>submergence and emergence</w:t>
      </w:r>
      <w:r>
        <w:rPr>
          <w:rFonts w:ascii="Times New Roman" w:hAnsi="Times New Roman" w:cs="Times New Roman"/>
          <w:sz w:val="24"/>
          <w:szCs w:val="24"/>
        </w:rPr>
        <w:t xml:space="preserve"> must be interseismic, since </w:t>
      </w:r>
      <w:r w:rsidR="00B46008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occurred gradually over many decades.</w:t>
      </w:r>
      <w:r w:rsidR="00B46008">
        <w:rPr>
          <w:rFonts w:ascii="Times New Roman" w:hAnsi="Times New Roman" w:cs="Times New Roman"/>
          <w:sz w:val="24"/>
          <w:szCs w:val="24"/>
        </w:rPr>
        <w:t xml:space="preserve"> However, the change between </w:t>
      </w:r>
      <w:r w:rsidR="00F31AB9">
        <w:rPr>
          <w:rFonts w:ascii="Times New Roman" w:hAnsi="Times New Roman" w:cs="Times New Roman"/>
          <w:sz w:val="24"/>
          <w:szCs w:val="24"/>
        </w:rPr>
        <w:t xml:space="preserve">emergence and submergence may be coseismic because it’s pretty </w:t>
      </w:r>
      <w:r w:rsidR="00015E32">
        <w:rPr>
          <w:rFonts w:ascii="Times New Roman" w:hAnsi="Times New Roman" w:cs="Times New Roman"/>
          <w:sz w:val="24"/>
          <w:szCs w:val="24"/>
        </w:rPr>
        <w:t>abrupt.</w:t>
      </w:r>
    </w:p>
    <w:p w:rsidR="009E14F6" w:rsidRDefault="009E14F6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 There isn’t an unconformity every year, because the annual extreme low </w:t>
      </w:r>
      <w:r w:rsidR="00015E32">
        <w:rPr>
          <w:rFonts w:ascii="Times New Roman" w:hAnsi="Times New Roman" w:cs="Times New Roman"/>
          <w:sz w:val="24"/>
          <w:szCs w:val="24"/>
        </w:rPr>
        <w:t xml:space="preserve">tide varies from year to year. </w:t>
      </w:r>
      <w:r>
        <w:rPr>
          <w:rFonts w:ascii="Times New Roman" w:hAnsi="Times New Roman" w:cs="Times New Roman"/>
          <w:sz w:val="24"/>
          <w:szCs w:val="24"/>
        </w:rPr>
        <w:t>Unconformities only occur when the HLS drops lower than the highest level of growth of the coral surface in the previous year.</w:t>
      </w:r>
    </w:p>
    <w:p w:rsidR="00226E33" w:rsidRDefault="00226E33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621C0D" w:rsidRDefault="00226E33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621C0D" w:rsidRDefault="00621C0D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submerging (coral grows upward because sea level was rising)</w:t>
      </w:r>
    </w:p>
    <w:p w:rsidR="00621C0D" w:rsidRDefault="00621C0D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~ 5-6 mm/yr</w:t>
      </w:r>
    </w:p>
    <w:p w:rsidR="00061E47" w:rsidRDefault="00621C0D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actual rate ~3-4 mm/yr</w:t>
      </w:r>
    </w:p>
    <w:p w:rsidR="00061E47" w:rsidRDefault="00061E47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growth seems pretty steady, no evidence for coseismic (abrupt) change in growth</w:t>
      </w:r>
    </w:p>
    <w:p w:rsidR="00226E33" w:rsidRDefault="00226E33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C112C" w:rsidRDefault="005C112C" w:rsidP="005C112C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2489">
        <w:rPr>
          <w:rFonts w:ascii="Times New Roman" w:hAnsi="Times New Roman" w:cs="Times New Roman"/>
          <w:sz w:val="24"/>
          <w:szCs w:val="24"/>
        </w:rPr>
        <w:t>)</w:t>
      </w:r>
    </w:p>
    <w:p w:rsidR="005C112C" w:rsidRDefault="005C112C" w:rsidP="005C112C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B434E">
        <w:rPr>
          <w:rFonts w:ascii="Times New Roman" w:hAnsi="Times New Roman" w:cs="Times New Roman"/>
          <w:sz w:val="24"/>
          <w:szCs w:val="24"/>
        </w:rPr>
        <w:t>The 1935 earthquake.</w:t>
      </w:r>
    </w:p>
    <w:p w:rsidR="008B434E" w:rsidRDefault="008B434E" w:rsidP="005C112C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Bendera uplifted 88 </w:t>
      </w:r>
      <w:r>
        <w:rPr>
          <w:rFonts w:ascii="Calibri" w:hAnsi="Calibri" w:cs="Calibri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5 cm (5 cm uncertainty is reasonable since the top of Tb2 is slightly eroded, and Tb1 has only a minimum HLS in 1935).</w:t>
      </w:r>
    </w:p>
    <w:p w:rsidR="008B434E" w:rsidRDefault="008B434E" w:rsidP="005C112C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9436A1" w:rsidRDefault="008B434E" w:rsidP="005C112C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Point: </w:t>
      </w:r>
      <w:r w:rsidR="009436A1">
        <w:rPr>
          <w:rFonts w:ascii="Times New Roman" w:hAnsi="Times New Roman" w:cs="Times New Roman"/>
          <w:sz w:val="24"/>
          <w:szCs w:val="24"/>
        </w:rPr>
        <w:t>The tectonic subsidence rate at Bendera decreased by 1.3 mm/yr after the 1935 earthquake.  This illustrates that coseismic events can cause changes in interseismic deformation rates.</w:t>
      </w:r>
    </w:p>
    <w:p w:rsidR="009436A1" w:rsidRDefault="009436A1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9436A1" w:rsidRPr="002314D7" w:rsidRDefault="009436A1" w:rsidP="009436A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Differences as great as 0.5 mm/yr from the stated rates in this solution set should be expected from students and accepted as correct.</w:t>
      </w:r>
      <w:bookmarkStart w:id="0" w:name="_GoBack"/>
      <w:bookmarkEnd w:id="0"/>
    </w:p>
    <w:sectPr w:rsidR="009436A1" w:rsidRPr="002314D7" w:rsidSect="002905C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BCA"/>
    <w:multiLevelType w:val="hybridMultilevel"/>
    <w:tmpl w:val="48C65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0A46"/>
    <w:multiLevelType w:val="hybridMultilevel"/>
    <w:tmpl w:val="4B48A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84564"/>
    <w:multiLevelType w:val="hybridMultilevel"/>
    <w:tmpl w:val="8ED62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E1A27"/>
    <w:multiLevelType w:val="hybridMultilevel"/>
    <w:tmpl w:val="DBDE7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A4E"/>
    <w:multiLevelType w:val="hybridMultilevel"/>
    <w:tmpl w:val="852C6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227AB"/>
    <w:multiLevelType w:val="hybridMultilevel"/>
    <w:tmpl w:val="2E025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38131F"/>
    <w:rsid w:val="00015E32"/>
    <w:rsid w:val="00061E47"/>
    <w:rsid w:val="001B3C36"/>
    <w:rsid w:val="001C2371"/>
    <w:rsid w:val="002223BD"/>
    <w:rsid w:val="00226E33"/>
    <w:rsid w:val="002314D7"/>
    <w:rsid w:val="002905CA"/>
    <w:rsid w:val="002C56A7"/>
    <w:rsid w:val="0038131F"/>
    <w:rsid w:val="00407C1B"/>
    <w:rsid w:val="00474C44"/>
    <w:rsid w:val="004A5880"/>
    <w:rsid w:val="004B11BF"/>
    <w:rsid w:val="00522489"/>
    <w:rsid w:val="00590DD4"/>
    <w:rsid w:val="005B4327"/>
    <w:rsid w:val="005C112C"/>
    <w:rsid w:val="005E5F0F"/>
    <w:rsid w:val="00621C0D"/>
    <w:rsid w:val="00652087"/>
    <w:rsid w:val="0073682B"/>
    <w:rsid w:val="00781420"/>
    <w:rsid w:val="00811D22"/>
    <w:rsid w:val="0086681E"/>
    <w:rsid w:val="008B434E"/>
    <w:rsid w:val="00940290"/>
    <w:rsid w:val="009436A1"/>
    <w:rsid w:val="00997FFE"/>
    <w:rsid w:val="009A23B3"/>
    <w:rsid w:val="009E14F6"/>
    <w:rsid w:val="00A57C23"/>
    <w:rsid w:val="00AD3114"/>
    <w:rsid w:val="00B46008"/>
    <w:rsid w:val="00B572F4"/>
    <w:rsid w:val="00D50051"/>
    <w:rsid w:val="00D83E5C"/>
    <w:rsid w:val="00E374CA"/>
    <w:rsid w:val="00E53319"/>
    <w:rsid w:val="00F31AB9"/>
    <w:rsid w:val="00FA4152"/>
    <w:rsid w:val="00FF701E"/>
  </w:rsids>
  <m:mathPr>
    <m:mathFont m:val="Marlet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81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7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le\Documents\Research\Indonesia\corals\outreach\MiniLessonSolutionPlo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/>
          <a:lstStyle/>
          <a:p>
            <a:pPr>
              <a:defRPr sz="1600" b="0"/>
            </a:pPr>
            <a:r>
              <a:rPr lang="en-US" sz="1600" b="0"/>
              <a:t>Head</a:t>
            </a:r>
            <a:r>
              <a:rPr lang="en-US" sz="1600" b="0" baseline="0"/>
              <a:t> Bai Plot</a:t>
            </a:r>
            <a:endParaRPr lang="en-US" sz="1600" b="0"/>
          </a:p>
        </c:rich>
      </c:tx>
      <c:layout/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</c:marker>
          <c:xVal>
            <c:numRef>
              <c:f>Bai!$A$1:$A$41</c:f>
              <c:numCache>
                <c:formatCode>General</c:formatCode>
                <c:ptCount val="41"/>
                <c:pt idx="0">
                  <c:v>1957.0</c:v>
                </c:pt>
                <c:pt idx="1">
                  <c:v>1958.0</c:v>
                </c:pt>
                <c:pt idx="2">
                  <c:v>1959.0</c:v>
                </c:pt>
                <c:pt idx="3">
                  <c:v>1960.0</c:v>
                </c:pt>
                <c:pt idx="4">
                  <c:v>1961.0</c:v>
                </c:pt>
                <c:pt idx="5">
                  <c:v>1962.0</c:v>
                </c:pt>
                <c:pt idx="6">
                  <c:v>1963.0</c:v>
                </c:pt>
                <c:pt idx="7">
                  <c:v>1964.0</c:v>
                </c:pt>
                <c:pt idx="8">
                  <c:v>1965.0</c:v>
                </c:pt>
                <c:pt idx="9">
                  <c:v>1966.0</c:v>
                </c:pt>
                <c:pt idx="10">
                  <c:v>1967.0</c:v>
                </c:pt>
                <c:pt idx="11">
                  <c:v>1968.0</c:v>
                </c:pt>
                <c:pt idx="12">
                  <c:v>1969.0</c:v>
                </c:pt>
                <c:pt idx="13">
                  <c:v>1970.0</c:v>
                </c:pt>
                <c:pt idx="14">
                  <c:v>1971.0</c:v>
                </c:pt>
                <c:pt idx="15">
                  <c:v>1972.0</c:v>
                </c:pt>
                <c:pt idx="16">
                  <c:v>1973.0</c:v>
                </c:pt>
                <c:pt idx="17">
                  <c:v>1974.0</c:v>
                </c:pt>
                <c:pt idx="18">
                  <c:v>1975.0</c:v>
                </c:pt>
                <c:pt idx="19">
                  <c:v>1976.0</c:v>
                </c:pt>
                <c:pt idx="20">
                  <c:v>1977.0</c:v>
                </c:pt>
                <c:pt idx="21">
                  <c:v>1978.0</c:v>
                </c:pt>
                <c:pt idx="22">
                  <c:v>1979.0</c:v>
                </c:pt>
                <c:pt idx="23">
                  <c:v>1980.0</c:v>
                </c:pt>
                <c:pt idx="24">
                  <c:v>1981.0</c:v>
                </c:pt>
                <c:pt idx="25">
                  <c:v>1982.0</c:v>
                </c:pt>
                <c:pt idx="26">
                  <c:v>1983.0</c:v>
                </c:pt>
                <c:pt idx="27">
                  <c:v>1984.0</c:v>
                </c:pt>
                <c:pt idx="28">
                  <c:v>1985.0</c:v>
                </c:pt>
                <c:pt idx="29">
                  <c:v>1986.0</c:v>
                </c:pt>
                <c:pt idx="30">
                  <c:v>1987.0</c:v>
                </c:pt>
                <c:pt idx="31">
                  <c:v>1988.0</c:v>
                </c:pt>
                <c:pt idx="32">
                  <c:v>1989.0</c:v>
                </c:pt>
                <c:pt idx="33">
                  <c:v>1990.0</c:v>
                </c:pt>
                <c:pt idx="34">
                  <c:v>1991.0</c:v>
                </c:pt>
                <c:pt idx="35">
                  <c:v>1992.0</c:v>
                </c:pt>
                <c:pt idx="36">
                  <c:v>1993.0</c:v>
                </c:pt>
                <c:pt idx="37">
                  <c:v>1994.0</c:v>
                </c:pt>
                <c:pt idx="38">
                  <c:v>1995.0</c:v>
                </c:pt>
                <c:pt idx="39">
                  <c:v>1996.0</c:v>
                </c:pt>
                <c:pt idx="40">
                  <c:v>1997.0</c:v>
                </c:pt>
              </c:numCache>
            </c:numRef>
          </c:xVal>
          <c:yVal>
            <c:numRef>
              <c:f>Bai!$C$1:$C$41</c:f>
              <c:numCache>
                <c:formatCode>General</c:formatCode>
                <c:ptCount val="41"/>
                <c:pt idx="0">
                  <c:v>7.118644067796608</c:v>
                </c:pt>
                <c:pt idx="1">
                  <c:v>8.135593220338982</c:v>
                </c:pt>
                <c:pt idx="2">
                  <c:v>9.661016949152541</c:v>
                </c:pt>
                <c:pt idx="3">
                  <c:v>10.16949152542373</c:v>
                </c:pt>
                <c:pt idx="4">
                  <c:v>10.5084745762712</c:v>
                </c:pt>
                <c:pt idx="5">
                  <c:v>10.67796610169492</c:v>
                </c:pt>
                <c:pt idx="6">
                  <c:v>5.762711864406777</c:v>
                </c:pt>
                <c:pt idx="7">
                  <c:v>6.271186440677965</c:v>
                </c:pt>
                <c:pt idx="8">
                  <c:v>7.288135593220338</c:v>
                </c:pt>
                <c:pt idx="9">
                  <c:v>8.135593220338982</c:v>
                </c:pt>
                <c:pt idx="10">
                  <c:v>8.983050847457626</c:v>
                </c:pt>
                <c:pt idx="11">
                  <c:v>10.0</c:v>
                </c:pt>
                <c:pt idx="12">
                  <c:v>11.01694915254237</c:v>
                </c:pt>
                <c:pt idx="13">
                  <c:v>11.1864406779661</c:v>
                </c:pt>
                <c:pt idx="14">
                  <c:v>12.3728813559322</c:v>
                </c:pt>
                <c:pt idx="15">
                  <c:v>13.22033898305084</c:v>
                </c:pt>
                <c:pt idx="16">
                  <c:v>13.89830508474576</c:v>
                </c:pt>
                <c:pt idx="17">
                  <c:v>14.74576271186441</c:v>
                </c:pt>
                <c:pt idx="18">
                  <c:v>14.23728813559322</c:v>
                </c:pt>
                <c:pt idx="19">
                  <c:v>12.54237288135593</c:v>
                </c:pt>
                <c:pt idx="20">
                  <c:v>12.8813559322034</c:v>
                </c:pt>
                <c:pt idx="21">
                  <c:v>9.491525423728813</c:v>
                </c:pt>
                <c:pt idx="22">
                  <c:v>10.0</c:v>
                </c:pt>
                <c:pt idx="23">
                  <c:v>8.47457627118644</c:v>
                </c:pt>
                <c:pt idx="24">
                  <c:v>8.983050847457626</c:v>
                </c:pt>
                <c:pt idx="25">
                  <c:v>9.322033898305088</c:v>
                </c:pt>
                <c:pt idx="26">
                  <c:v>8.135593220338982</c:v>
                </c:pt>
                <c:pt idx="27">
                  <c:v>8.47457627118644</c:v>
                </c:pt>
                <c:pt idx="28">
                  <c:v>6.440677966101695</c:v>
                </c:pt>
                <c:pt idx="29">
                  <c:v>7.118644067796608</c:v>
                </c:pt>
                <c:pt idx="30">
                  <c:v>7.288135593220338</c:v>
                </c:pt>
                <c:pt idx="31">
                  <c:v>6.271186440677965</c:v>
                </c:pt>
                <c:pt idx="32">
                  <c:v>5.423728813559322</c:v>
                </c:pt>
                <c:pt idx="33">
                  <c:v>5.59322033898305</c:v>
                </c:pt>
                <c:pt idx="34">
                  <c:v>6.271186440677965</c:v>
                </c:pt>
                <c:pt idx="35">
                  <c:v>5.254237288135591</c:v>
                </c:pt>
                <c:pt idx="36">
                  <c:v>5.084745762711865</c:v>
                </c:pt>
                <c:pt idx="37">
                  <c:v>3.898305084745762</c:v>
                </c:pt>
                <c:pt idx="38">
                  <c:v>4.57627118644068</c:v>
                </c:pt>
                <c:pt idx="39">
                  <c:v>0.847457627118644</c:v>
                </c:pt>
                <c:pt idx="40">
                  <c:v>1.52542372881356</c:v>
                </c:pt>
              </c:numCache>
            </c:numRef>
          </c:yVal>
        </c:ser>
        <c:axId val="558494328"/>
        <c:axId val="558511448"/>
      </c:scatterChart>
      <c:valAx>
        <c:axId val="558494328"/>
        <c:scaling>
          <c:orientation val="minMax"/>
        </c:scaling>
        <c:axPos val="b"/>
        <c:numFmt formatCode="General" sourceLinked="1"/>
        <c:tickLblPos val="nextTo"/>
        <c:crossAx val="558511448"/>
        <c:crosses val="autoZero"/>
        <c:crossBetween val="midCat"/>
      </c:valAx>
      <c:valAx>
        <c:axId val="558511448"/>
        <c:scaling>
          <c:orientation val="minMax"/>
          <c:max val="20.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elevation of HLS (cm)</a:t>
                </a:r>
              </a:p>
            </c:rich>
          </c:tx>
          <c:layout/>
        </c:title>
        <c:numFmt formatCode="General" sourceLinked="1"/>
        <c:tickLblPos val="nextTo"/>
        <c:crossAx val="558494328"/>
        <c:crosses val="autoZero"/>
        <c:crossBetween val="midCat"/>
        <c:majorUnit val="4.0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2297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Philibosian</dc:creator>
  <cp:lastModifiedBy>Elisabeth Nadin</cp:lastModifiedBy>
  <cp:revision>6</cp:revision>
  <dcterms:created xsi:type="dcterms:W3CDTF">2011-04-27T05:17:00Z</dcterms:created>
  <dcterms:modified xsi:type="dcterms:W3CDTF">2011-04-27T05:40:00Z</dcterms:modified>
</cp:coreProperties>
</file>